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方正小标宋简体" w:hAnsi="方正小标宋简体" w:eastAsia="方正小标宋简体" w:cs="方正小标宋简体"/>
          <w:bCs/>
          <w:color w:val="000000"/>
          <w:sz w:val="44"/>
          <w:szCs w:val="44"/>
        </w:rPr>
      </w:pPr>
      <w:r>
        <w:rPr>
          <w:rFonts w:hint="eastAsia" w:ascii="方正小标宋简体" w:hAnsi="方正小标宋简体" w:eastAsia="方正小标宋简体" w:cs="方正小标宋简体"/>
          <w:bCs/>
          <w:color w:val="000000"/>
          <w:sz w:val="44"/>
          <w:szCs w:val="44"/>
        </w:rPr>
        <w:t>长沙市气象局</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方正小标宋简体" w:hAnsi="方正小标宋简体" w:eastAsia="方正小标宋简体" w:cs="方正小标宋简体"/>
          <w:bCs/>
          <w:color w:val="000000"/>
          <w:sz w:val="44"/>
          <w:szCs w:val="44"/>
        </w:rPr>
      </w:pPr>
      <w:r>
        <w:rPr>
          <w:rFonts w:hint="eastAsia" w:ascii="方正小标宋简体" w:hAnsi="方正小标宋简体" w:eastAsia="方正小标宋简体" w:cs="方正小标宋简体"/>
          <w:bCs/>
          <w:color w:val="000000"/>
          <w:sz w:val="44"/>
          <w:szCs w:val="44"/>
        </w:rPr>
        <w:t>20</w:t>
      </w:r>
      <w:r>
        <w:rPr>
          <w:rFonts w:hint="eastAsia" w:ascii="方正小标宋简体" w:hAnsi="方正小标宋简体" w:eastAsia="方正小标宋简体" w:cs="方正小标宋简体"/>
          <w:bCs/>
          <w:color w:val="000000"/>
          <w:sz w:val="44"/>
          <w:szCs w:val="44"/>
          <w:lang w:val="en-US" w:eastAsia="zh-CN"/>
        </w:rPr>
        <w:t>22</w:t>
      </w:r>
      <w:r>
        <w:rPr>
          <w:rFonts w:hint="eastAsia" w:ascii="方正小标宋简体" w:hAnsi="方正小标宋简体" w:eastAsia="方正小标宋简体" w:cs="方正小标宋简体"/>
          <w:bCs/>
          <w:color w:val="000000"/>
          <w:sz w:val="44"/>
          <w:szCs w:val="44"/>
        </w:rPr>
        <w:t>年</w:t>
      </w:r>
      <w:r>
        <w:rPr>
          <w:rFonts w:hint="eastAsia" w:ascii="方正小标宋简体" w:eastAsia="方正小标宋简体" w:cs="宋体"/>
          <w:bCs/>
          <w:color w:val="000000"/>
          <w:kern w:val="0"/>
          <w:sz w:val="44"/>
          <w:szCs w:val="44"/>
        </w:rPr>
        <w:t>安全生产监督检查计划</w:t>
      </w:r>
    </w:p>
    <w:p>
      <w:pPr>
        <w:adjustRightInd w:val="0"/>
        <w:snapToGrid w:val="0"/>
        <w:spacing w:line="360" w:lineRule="auto"/>
        <w:rPr>
          <w:rFonts w:hint="eastAsia" w:ascii="仿宋_GB2312" w:hAnsi="仿宋_GB2312" w:eastAsia="仿宋_GB2312" w:cs="仿宋_GB2312"/>
          <w:sz w:val="32"/>
          <w:szCs w:val="32"/>
        </w:rPr>
      </w:pPr>
    </w:p>
    <w:p>
      <w:pPr>
        <w:adjustRightInd w:val="0"/>
        <w:snapToGrid w:val="0"/>
        <w:spacing w:line="560" w:lineRule="exact"/>
        <w:ind w:firstLine="640" w:firstLineChars="200"/>
        <w:rPr>
          <w:rFonts w:hint="eastAsia" w:eastAsia="仿宋_GB2312"/>
          <w:color w:val="000000"/>
          <w:sz w:val="32"/>
          <w:szCs w:val="32"/>
        </w:rPr>
      </w:pPr>
      <w:r>
        <w:rPr>
          <w:rFonts w:hint="eastAsia" w:eastAsia="仿宋_GB2312"/>
          <w:color w:val="000000"/>
          <w:sz w:val="32"/>
          <w:szCs w:val="32"/>
        </w:rPr>
        <w:t>为进一步加强安全生产工作，确保执法检查公正、合理、全覆盖，制定本计划。</w:t>
      </w:r>
    </w:p>
    <w:p>
      <w:pPr>
        <w:adjustRightInd w:val="0"/>
        <w:snapToGrid w:val="0"/>
        <w:spacing w:line="560" w:lineRule="exact"/>
        <w:ind w:firstLine="640" w:firstLineChars="200"/>
        <w:rPr>
          <w:rFonts w:hint="eastAsia" w:eastAsia="仿宋_GB2312"/>
          <w:color w:val="000000"/>
          <w:sz w:val="32"/>
          <w:szCs w:val="32"/>
        </w:rPr>
      </w:pPr>
      <w:r>
        <w:rPr>
          <w:rFonts w:hint="eastAsia" w:eastAsia="仿宋_GB2312"/>
          <w:color w:val="000000"/>
          <w:sz w:val="32"/>
          <w:szCs w:val="32"/>
        </w:rPr>
        <w:t>一、编制依据</w:t>
      </w:r>
    </w:p>
    <w:p>
      <w:pPr>
        <w:adjustRightInd w:val="0"/>
        <w:snapToGrid w:val="0"/>
        <w:spacing w:line="560" w:lineRule="exact"/>
        <w:ind w:firstLine="640" w:firstLineChars="200"/>
        <w:rPr>
          <w:rFonts w:hint="eastAsia" w:eastAsia="仿宋_GB2312"/>
          <w:color w:val="000000"/>
          <w:sz w:val="32"/>
          <w:szCs w:val="32"/>
        </w:rPr>
      </w:pPr>
      <w:r>
        <w:rPr>
          <w:rFonts w:hint="eastAsia" w:eastAsia="仿宋_GB2312"/>
          <w:color w:val="000000"/>
          <w:sz w:val="32"/>
          <w:szCs w:val="32"/>
        </w:rPr>
        <w:t>根据《安全生产法》、《中共中央 国务院关于推进安全生产领域改革发展的意见》（中发〔2016〕32号）、《国家安全监管总局关于印发安全生产年度监督检查计划编制办法的通知》（安监总政法〔2017〕150号）、《中国气象局办公室关于印发&lt;气象部门安全生产工作指南（试行）&gt;的通知》（气办函〔2019〕27号）等有关规定和要求进行制定。</w:t>
      </w:r>
    </w:p>
    <w:p>
      <w:pPr>
        <w:adjustRightInd w:val="0"/>
        <w:snapToGrid w:val="0"/>
        <w:spacing w:line="560" w:lineRule="exact"/>
        <w:ind w:firstLine="640" w:firstLineChars="200"/>
        <w:rPr>
          <w:rFonts w:hint="eastAsia" w:eastAsia="仿宋_GB2312"/>
          <w:color w:val="000000"/>
          <w:sz w:val="32"/>
          <w:szCs w:val="32"/>
        </w:rPr>
      </w:pPr>
      <w:r>
        <w:rPr>
          <w:rFonts w:hint="eastAsia" w:eastAsia="仿宋_GB2312"/>
          <w:color w:val="000000"/>
          <w:sz w:val="32"/>
          <w:szCs w:val="32"/>
        </w:rPr>
        <w:t>二、编制说明</w:t>
      </w:r>
    </w:p>
    <w:p>
      <w:pPr>
        <w:adjustRightInd w:val="0"/>
        <w:snapToGrid w:val="0"/>
        <w:spacing w:line="560" w:lineRule="exact"/>
        <w:ind w:firstLine="640" w:firstLineChars="200"/>
        <w:rPr>
          <w:rFonts w:hint="eastAsia" w:eastAsia="仿宋_GB2312"/>
          <w:color w:val="000000"/>
          <w:sz w:val="32"/>
          <w:szCs w:val="32"/>
        </w:rPr>
      </w:pPr>
      <w:r>
        <w:rPr>
          <w:rFonts w:hint="eastAsia" w:eastAsia="仿宋_GB2312"/>
          <w:color w:val="000000"/>
          <w:sz w:val="32"/>
          <w:szCs w:val="32"/>
        </w:rPr>
        <w:t>按照“管行业必须管安全、管业务必须管安全、管生产经营必须管安全”</w:t>
      </w:r>
      <w:r>
        <w:rPr>
          <w:rFonts w:hint="eastAsia" w:eastAsia="仿宋_GB2312"/>
          <w:color w:val="000000"/>
          <w:sz w:val="32"/>
          <w:szCs w:val="32"/>
          <w:lang w:eastAsia="zh-CN"/>
        </w:rPr>
        <w:t>三个必须要求，</w:t>
      </w:r>
      <w:r>
        <w:rPr>
          <w:rFonts w:hint="eastAsia" w:eastAsia="仿宋_GB2312"/>
          <w:color w:val="000000"/>
          <w:sz w:val="32"/>
          <w:szCs w:val="32"/>
        </w:rPr>
        <w:t>长沙市气象局</w:t>
      </w:r>
      <w:r>
        <w:rPr>
          <w:rFonts w:hint="eastAsia" w:eastAsia="仿宋_GB2312"/>
          <w:color w:val="000000"/>
          <w:sz w:val="32"/>
          <w:szCs w:val="32"/>
          <w:lang w:eastAsia="zh-CN"/>
        </w:rPr>
        <w:t>根据</w:t>
      </w:r>
      <w:r>
        <w:rPr>
          <w:rFonts w:hint="eastAsia" w:eastAsia="仿宋_GB2312"/>
          <w:color w:val="000000"/>
          <w:sz w:val="32"/>
          <w:szCs w:val="32"/>
        </w:rPr>
        <w:t>部门安全生产监管责任清单，编制年度监督检查计划。</w:t>
      </w:r>
    </w:p>
    <w:p>
      <w:pPr>
        <w:adjustRightInd w:val="0"/>
        <w:snapToGrid w:val="0"/>
        <w:spacing w:line="560" w:lineRule="exact"/>
        <w:ind w:firstLine="640" w:firstLineChars="200"/>
        <w:rPr>
          <w:rFonts w:hint="eastAsia" w:eastAsia="仿宋_GB2312"/>
          <w:color w:val="000000"/>
          <w:sz w:val="32"/>
          <w:szCs w:val="32"/>
        </w:rPr>
      </w:pPr>
      <w:r>
        <w:rPr>
          <w:rFonts w:hint="eastAsia" w:eastAsia="仿宋_GB2312"/>
          <w:color w:val="000000"/>
          <w:sz w:val="32"/>
          <w:szCs w:val="32"/>
        </w:rPr>
        <w:t>重点监管单位、一般监管单位、其他执法工作日、非执法工作日等原则上参照《国家安全监管总局关于印发安全生产年度监督检查计划编制办法的通知》文件的相关规定确定。对重点监管对象的监督检查每年进行1-4次，对一般监管对象确实不能实现年内逐一监督检查的，要通过“双随机”的方式来抽查，且每月确定抽查范围、抽查批次、抽查监管单位的家数，每月确定好抽查单位后应作好记录，包括参与抽查人员名单，抽查企业的名单，参与监督检查的人员名单等情况。</w:t>
      </w:r>
    </w:p>
    <w:p>
      <w:pPr>
        <w:adjustRightInd w:val="0"/>
        <w:snapToGrid w:val="0"/>
        <w:spacing w:line="560" w:lineRule="exact"/>
        <w:ind w:firstLine="640" w:firstLineChars="200"/>
        <w:rPr>
          <w:rFonts w:hint="eastAsia" w:eastAsia="仿宋_GB2312"/>
          <w:color w:val="000000"/>
          <w:sz w:val="32"/>
          <w:szCs w:val="32"/>
        </w:rPr>
      </w:pPr>
      <w:r>
        <w:rPr>
          <w:rFonts w:hint="eastAsia" w:eastAsia="仿宋_GB2312"/>
          <w:color w:val="000000"/>
          <w:sz w:val="32"/>
          <w:szCs w:val="32"/>
        </w:rPr>
        <w:t>三、年度监督检查计划的实施要求</w:t>
      </w:r>
    </w:p>
    <w:p>
      <w:pPr>
        <w:adjustRightInd w:val="0"/>
        <w:snapToGrid w:val="0"/>
        <w:spacing w:line="560" w:lineRule="exact"/>
        <w:ind w:firstLine="640" w:firstLineChars="200"/>
        <w:rPr>
          <w:rFonts w:hint="eastAsia" w:eastAsia="仿宋_GB2312"/>
          <w:color w:val="000000"/>
          <w:sz w:val="32"/>
          <w:szCs w:val="32"/>
        </w:rPr>
      </w:pPr>
      <w:r>
        <w:rPr>
          <w:rFonts w:hint="eastAsia" w:eastAsia="仿宋_GB2312"/>
          <w:color w:val="000000"/>
          <w:sz w:val="32"/>
          <w:szCs w:val="32"/>
        </w:rPr>
        <w:t>（一）严格按照批准的年度监督检查计划实施。不得随意变更，确需对监督检查计划具体单位、检查时间进行调整的，应符合《国家安全监管总局关于印发安全生产年度监督检查计划编制办法的通知》规定。</w:t>
      </w:r>
    </w:p>
    <w:p>
      <w:pPr>
        <w:adjustRightInd w:val="0"/>
        <w:snapToGrid w:val="0"/>
        <w:spacing w:line="560" w:lineRule="exact"/>
        <w:ind w:firstLine="640" w:firstLineChars="200"/>
        <w:rPr>
          <w:rFonts w:hint="eastAsia" w:eastAsia="仿宋_GB2312"/>
          <w:color w:val="000000"/>
          <w:sz w:val="32"/>
          <w:szCs w:val="32"/>
        </w:rPr>
      </w:pPr>
      <w:r>
        <w:rPr>
          <w:rFonts w:hint="eastAsia" w:eastAsia="仿宋_GB2312"/>
          <w:color w:val="000000"/>
          <w:sz w:val="32"/>
          <w:szCs w:val="32"/>
        </w:rPr>
        <w:t>（二）进行年度监督检查的具体内容应包括《安全生产法》、《湖南省生产经营单位安全生产主体责任规定》（湖南省政府第287号令）等规定生产经营单位安全生产主体责任落实情况，特别要突出以下8项内容：</w:t>
      </w:r>
    </w:p>
    <w:p>
      <w:pPr>
        <w:adjustRightInd w:val="0"/>
        <w:snapToGrid w:val="0"/>
        <w:spacing w:line="560" w:lineRule="exact"/>
        <w:ind w:firstLine="640" w:firstLineChars="200"/>
        <w:rPr>
          <w:rFonts w:hint="eastAsia" w:eastAsia="仿宋_GB2312"/>
          <w:color w:val="000000"/>
          <w:sz w:val="32"/>
          <w:szCs w:val="32"/>
        </w:rPr>
      </w:pPr>
      <w:r>
        <w:rPr>
          <w:rFonts w:hint="eastAsia" w:eastAsia="仿宋_GB2312"/>
          <w:color w:val="000000"/>
          <w:sz w:val="32"/>
          <w:szCs w:val="32"/>
        </w:rPr>
        <w:t>1．相关证照和具备国家规定的安全生产条件情况；</w:t>
      </w:r>
    </w:p>
    <w:p>
      <w:pPr>
        <w:adjustRightInd w:val="0"/>
        <w:snapToGrid w:val="0"/>
        <w:spacing w:line="560" w:lineRule="exact"/>
        <w:ind w:firstLine="640" w:firstLineChars="200"/>
        <w:rPr>
          <w:rFonts w:hint="eastAsia" w:eastAsia="仿宋_GB2312"/>
          <w:color w:val="000000"/>
          <w:sz w:val="32"/>
          <w:szCs w:val="32"/>
        </w:rPr>
      </w:pPr>
      <w:r>
        <w:rPr>
          <w:rFonts w:hint="eastAsia" w:eastAsia="仿宋_GB2312"/>
          <w:color w:val="000000"/>
          <w:sz w:val="32"/>
          <w:szCs w:val="32"/>
        </w:rPr>
        <w:t>2．建立安全责任体系，各岗位安全管理制度、操作规程的情况；</w:t>
      </w:r>
    </w:p>
    <w:p>
      <w:pPr>
        <w:adjustRightInd w:val="0"/>
        <w:snapToGrid w:val="0"/>
        <w:spacing w:line="560" w:lineRule="exact"/>
        <w:ind w:firstLine="640" w:firstLineChars="200"/>
        <w:rPr>
          <w:rFonts w:hint="eastAsia" w:eastAsia="仿宋_GB2312"/>
          <w:color w:val="000000"/>
          <w:sz w:val="32"/>
          <w:szCs w:val="32"/>
        </w:rPr>
      </w:pPr>
      <w:r>
        <w:rPr>
          <w:rFonts w:hint="eastAsia" w:eastAsia="仿宋_GB2312"/>
          <w:color w:val="000000"/>
          <w:sz w:val="32"/>
          <w:szCs w:val="32"/>
        </w:rPr>
        <w:t>3．主要负责人安全生产检查情况；</w:t>
      </w:r>
    </w:p>
    <w:p>
      <w:pPr>
        <w:adjustRightInd w:val="0"/>
        <w:snapToGrid w:val="0"/>
        <w:spacing w:line="560" w:lineRule="exact"/>
        <w:ind w:firstLine="640" w:firstLineChars="200"/>
        <w:rPr>
          <w:rFonts w:hint="eastAsia" w:eastAsia="仿宋_GB2312"/>
          <w:color w:val="000000"/>
          <w:sz w:val="32"/>
          <w:szCs w:val="32"/>
        </w:rPr>
      </w:pPr>
      <w:r>
        <w:rPr>
          <w:rFonts w:hint="eastAsia" w:eastAsia="仿宋_GB2312"/>
          <w:color w:val="000000"/>
          <w:sz w:val="32"/>
          <w:szCs w:val="32"/>
        </w:rPr>
        <w:t>4．全员安全教育培训及特种作业证持证上岗的情况；</w:t>
      </w:r>
    </w:p>
    <w:p>
      <w:pPr>
        <w:adjustRightInd w:val="0"/>
        <w:snapToGrid w:val="0"/>
        <w:spacing w:line="560" w:lineRule="exact"/>
        <w:ind w:firstLine="640" w:firstLineChars="200"/>
        <w:rPr>
          <w:rFonts w:hint="eastAsia" w:eastAsia="仿宋_GB2312"/>
          <w:color w:val="000000"/>
          <w:sz w:val="32"/>
          <w:szCs w:val="32"/>
        </w:rPr>
      </w:pPr>
      <w:r>
        <w:rPr>
          <w:rFonts w:hint="eastAsia" w:eastAsia="仿宋_GB2312"/>
          <w:color w:val="000000"/>
          <w:sz w:val="32"/>
          <w:szCs w:val="32"/>
        </w:rPr>
        <w:t>5．重要安全设施设备检查维护保养检测的情况；</w:t>
      </w:r>
    </w:p>
    <w:p>
      <w:pPr>
        <w:adjustRightInd w:val="0"/>
        <w:snapToGrid w:val="0"/>
        <w:spacing w:line="560" w:lineRule="exact"/>
        <w:ind w:firstLine="640" w:firstLineChars="200"/>
        <w:rPr>
          <w:rFonts w:hint="eastAsia" w:eastAsia="仿宋_GB2312"/>
          <w:color w:val="000000"/>
          <w:sz w:val="32"/>
          <w:szCs w:val="32"/>
        </w:rPr>
      </w:pPr>
      <w:r>
        <w:rPr>
          <w:rFonts w:hint="eastAsia" w:eastAsia="仿宋_GB2312"/>
          <w:color w:val="000000"/>
          <w:sz w:val="32"/>
          <w:szCs w:val="32"/>
        </w:rPr>
        <w:t>6．事故隐患排查治理及公开通报情况；</w:t>
      </w:r>
    </w:p>
    <w:p>
      <w:pPr>
        <w:adjustRightInd w:val="0"/>
        <w:snapToGrid w:val="0"/>
        <w:spacing w:line="560" w:lineRule="exact"/>
        <w:ind w:firstLine="640" w:firstLineChars="200"/>
        <w:rPr>
          <w:rFonts w:hint="eastAsia" w:eastAsia="仿宋_GB2312"/>
          <w:color w:val="000000"/>
          <w:sz w:val="32"/>
          <w:szCs w:val="32"/>
        </w:rPr>
      </w:pPr>
      <w:r>
        <w:rPr>
          <w:rFonts w:hint="eastAsia" w:eastAsia="仿宋_GB2312"/>
          <w:color w:val="000000"/>
          <w:sz w:val="32"/>
          <w:szCs w:val="32"/>
        </w:rPr>
        <w:t>7．危险物品、危险作业管理情况；</w:t>
      </w:r>
    </w:p>
    <w:p>
      <w:pPr>
        <w:adjustRightInd w:val="0"/>
        <w:snapToGrid w:val="0"/>
        <w:spacing w:line="560" w:lineRule="exact"/>
        <w:ind w:firstLine="640" w:firstLineChars="200"/>
        <w:rPr>
          <w:rFonts w:hint="eastAsia" w:eastAsia="仿宋_GB2312"/>
          <w:color w:val="000000"/>
          <w:sz w:val="32"/>
          <w:szCs w:val="32"/>
        </w:rPr>
      </w:pPr>
      <w:r>
        <w:rPr>
          <w:rFonts w:hint="eastAsia" w:eastAsia="仿宋_GB2312"/>
          <w:color w:val="000000"/>
          <w:sz w:val="32"/>
          <w:szCs w:val="32"/>
        </w:rPr>
        <w:t>8．抽查生产车间、库房、设施等情况。</w:t>
      </w:r>
    </w:p>
    <w:p>
      <w:pPr>
        <w:adjustRightInd w:val="0"/>
        <w:snapToGrid w:val="0"/>
        <w:spacing w:line="560" w:lineRule="exact"/>
        <w:ind w:firstLine="640" w:firstLineChars="200"/>
        <w:rPr>
          <w:rFonts w:hint="eastAsia" w:eastAsia="仿宋_GB2312"/>
          <w:color w:val="000000"/>
          <w:sz w:val="32"/>
          <w:szCs w:val="32"/>
        </w:rPr>
      </w:pPr>
      <w:r>
        <w:rPr>
          <w:rFonts w:hint="eastAsia" w:eastAsia="仿宋_GB2312"/>
          <w:color w:val="000000"/>
          <w:sz w:val="32"/>
          <w:szCs w:val="32"/>
        </w:rPr>
        <w:t>（三）监督检查</w:t>
      </w:r>
      <w:r>
        <w:rPr>
          <w:rFonts w:hint="eastAsia" w:eastAsia="仿宋_GB2312"/>
          <w:color w:val="000000"/>
          <w:sz w:val="32"/>
          <w:szCs w:val="32"/>
          <w:lang w:eastAsia="zh-CN"/>
        </w:rPr>
        <w:t>中</w:t>
      </w:r>
      <w:r>
        <w:rPr>
          <w:rFonts w:hint="eastAsia" w:eastAsia="仿宋_GB2312"/>
          <w:color w:val="000000"/>
          <w:sz w:val="32"/>
          <w:szCs w:val="32"/>
        </w:rPr>
        <w:t>发现安全生产隐患和问题要责令被检查单位整改，发现安全生产违法行为要依法处置。</w:t>
      </w:r>
    </w:p>
    <w:p>
      <w:pPr>
        <w:adjustRightInd w:val="0"/>
        <w:snapToGrid w:val="0"/>
        <w:spacing w:line="560" w:lineRule="exact"/>
        <w:ind w:firstLine="640" w:firstLineChars="200"/>
        <w:rPr>
          <w:rFonts w:hint="eastAsia" w:eastAsia="仿宋_GB2312"/>
          <w:color w:val="000000"/>
          <w:sz w:val="32"/>
          <w:szCs w:val="32"/>
        </w:rPr>
      </w:pPr>
      <w:r>
        <w:rPr>
          <w:rFonts w:hint="eastAsia" w:eastAsia="仿宋_GB2312"/>
          <w:color w:val="000000"/>
          <w:sz w:val="32"/>
          <w:szCs w:val="32"/>
        </w:rPr>
        <w:t>四、20</w:t>
      </w:r>
      <w:r>
        <w:rPr>
          <w:rFonts w:hint="eastAsia" w:eastAsia="仿宋_GB2312"/>
          <w:color w:val="000000"/>
          <w:sz w:val="32"/>
          <w:szCs w:val="32"/>
          <w:lang w:val="en-US" w:eastAsia="zh-CN"/>
        </w:rPr>
        <w:t>22</w:t>
      </w:r>
      <w:r>
        <w:rPr>
          <w:rFonts w:hint="eastAsia" w:eastAsia="仿宋_GB2312"/>
          <w:color w:val="000000"/>
          <w:sz w:val="32"/>
          <w:szCs w:val="32"/>
        </w:rPr>
        <w:t>年监督检查计划安排</w:t>
      </w:r>
    </w:p>
    <w:p>
      <w:pPr>
        <w:adjustRightInd w:val="0"/>
        <w:snapToGrid w:val="0"/>
        <w:spacing w:line="560" w:lineRule="exact"/>
        <w:ind w:firstLine="640" w:firstLineChars="200"/>
        <w:rPr>
          <w:rFonts w:hint="eastAsia" w:eastAsia="仿宋_GB2312"/>
          <w:color w:val="000000"/>
          <w:sz w:val="32"/>
          <w:szCs w:val="32"/>
          <w:lang w:val="en-US" w:eastAsia="zh-CN"/>
        </w:rPr>
      </w:pPr>
      <w:r>
        <w:rPr>
          <w:rFonts w:hint="eastAsia" w:eastAsia="仿宋_GB2312"/>
          <w:color w:val="000000"/>
          <w:sz w:val="32"/>
          <w:szCs w:val="32"/>
        </w:rPr>
        <w:t>本单位根据责任清单负责对危险化学品、旅游景点、氢气球施放、防雷检测机构等行业的</w:t>
      </w:r>
      <w:r>
        <w:rPr>
          <w:rFonts w:hint="eastAsia" w:eastAsia="仿宋_GB2312"/>
          <w:color w:val="000000"/>
          <w:sz w:val="32"/>
          <w:szCs w:val="32"/>
          <w:lang w:eastAsia="zh-CN"/>
        </w:rPr>
        <w:t>气象</w:t>
      </w:r>
      <w:r>
        <w:rPr>
          <w:rFonts w:hint="eastAsia" w:eastAsia="仿宋_GB2312"/>
          <w:color w:val="000000"/>
          <w:sz w:val="32"/>
          <w:szCs w:val="32"/>
        </w:rPr>
        <w:t>安全进行监管。</w:t>
      </w:r>
      <w:r>
        <w:rPr>
          <w:rFonts w:hint="eastAsia" w:eastAsia="仿宋_GB2312"/>
          <w:color w:val="000000"/>
          <w:sz w:val="32"/>
          <w:szCs w:val="32"/>
          <w:lang w:eastAsia="zh-CN"/>
        </w:rPr>
        <w:t>根据执法人员数量，结合实际情况。计划</w:t>
      </w:r>
      <w:r>
        <w:rPr>
          <w:rFonts w:hint="eastAsia" w:eastAsia="仿宋_GB2312"/>
          <w:color w:val="000000"/>
          <w:sz w:val="32"/>
          <w:szCs w:val="32"/>
          <w:lang w:val="en-US" w:eastAsia="zh-CN"/>
        </w:rPr>
        <w:t>2022年监督检查对象60家，</w:t>
      </w:r>
      <w:r>
        <w:rPr>
          <w:rFonts w:hint="eastAsia" w:eastAsia="仿宋_GB2312"/>
          <w:color w:val="000000"/>
          <w:sz w:val="32"/>
          <w:szCs w:val="32"/>
          <w:lang w:eastAsia="zh-CN"/>
        </w:rPr>
        <w:t>其中检查易燃易爆场所</w:t>
      </w:r>
      <w:r>
        <w:rPr>
          <w:rFonts w:hint="eastAsia" w:eastAsia="仿宋_GB2312"/>
          <w:color w:val="000000"/>
          <w:sz w:val="32"/>
          <w:szCs w:val="32"/>
          <w:lang w:val="en-US" w:eastAsia="zh-CN"/>
        </w:rPr>
        <w:t>45家、防雷检测机构5家、旅游景点5家、人员密集场所5家。</w:t>
      </w:r>
    </w:p>
    <w:p>
      <w:pPr>
        <w:adjustRightInd w:val="0"/>
        <w:snapToGrid w:val="0"/>
        <w:spacing w:line="560" w:lineRule="exact"/>
        <w:ind w:firstLine="640" w:firstLineChars="200"/>
        <w:rPr>
          <w:rFonts w:hint="eastAsia" w:eastAsia="仿宋_GB2312"/>
          <w:color w:val="000000"/>
          <w:sz w:val="32"/>
          <w:szCs w:val="32"/>
        </w:rPr>
      </w:pPr>
    </w:p>
    <w:p>
      <w:pPr>
        <w:adjustRightInd w:val="0"/>
        <w:snapToGrid w:val="0"/>
        <w:spacing w:line="560" w:lineRule="exact"/>
        <w:ind w:firstLine="640" w:firstLineChars="200"/>
        <w:rPr>
          <w:rFonts w:hint="eastAsia" w:eastAsia="仿宋_GB2312"/>
          <w:color w:val="000000"/>
          <w:sz w:val="32"/>
          <w:szCs w:val="32"/>
        </w:rPr>
      </w:pPr>
    </w:p>
    <w:p>
      <w:pPr>
        <w:adjustRightInd w:val="0"/>
        <w:snapToGrid w:val="0"/>
        <w:spacing w:line="560" w:lineRule="exact"/>
        <w:rPr>
          <w:rFonts w:hint="eastAsia" w:eastAsia="仿宋_GB2312"/>
          <w:color w:val="000000"/>
          <w:kern w:val="0"/>
          <w:sz w:val="32"/>
          <w:szCs w:val="32"/>
        </w:rPr>
      </w:pPr>
      <w:r>
        <w:rPr>
          <w:rFonts w:hint="eastAsia" w:eastAsia="仿宋_GB2312"/>
          <w:color w:val="000000"/>
          <w:sz w:val="32"/>
          <w:szCs w:val="32"/>
        </w:rPr>
        <w:t>附件：1.长沙市气象局20</w:t>
      </w:r>
      <w:r>
        <w:rPr>
          <w:rFonts w:hint="eastAsia" w:eastAsia="仿宋_GB2312"/>
          <w:color w:val="000000"/>
          <w:sz w:val="32"/>
          <w:szCs w:val="32"/>
          <w:lang w:val="en-US" w:eastAsia="zh-CN"/>
        </w:rPr>
        <w:t>22</w:t>
      </w:r>
      <w:r>
        <w:rPr>
          <w:rFonts w:hint="eastAsia" w:eastAsia="仿宋_GB2312"/>
          <w:color w:val="000000"/>
          <w:sz w:val="32"/>
          <w:szCs w:val="32"/>
        </w:rPr>
        <w:t>年安全生产监督检查计划</w:t>
      </w:r>
      <w:r>
        <w:rPr>
          <w:rFonts w:hint="eastAsia" w:eastAsia="仿宋_GB2312"/>
          <w:color w:val="000000"/>
          <w:sz w:val="32"/>
          <w:szCs w:val="32"/>
          <w:lang w:eastAsia="zh-CN"/>
        </w:rPr>
        <w:t>表</w:t>
      </w:r>
    </w:p>
    <w:p>
      <w:pPr>
        <w:adjustRightInd w:val="0"/>
        <w:snapToGrid w:val="0"/>
        <w:spacing w:line="560" w:lineRule="exact"/>
        <w:ind w:firstLine="640" w:firstLineChars="200"/>
        <w:rPr>
          <w:rFonts w:hint="eastAsia" w:eastAsia="仿宋_GB2312"/>
          <w:color w:val="000000"/>
          <w:kern w:val="0"/>
          <w:sz w:val="32"/>
          <w:szCs w:val="32"/>
        </w:rPr>
      </w:pPr>
    </w:p>
    <w:p>
      <w:pPr>
        <w:spacing w:line="600" w:lineRule="exact"/>
        <w:rPr>
          <w:rFonts w:hint="eastAsia" w:ascii="黑体" w:hAnsi="黑体" w:eastAsia="黑体" w:cs="黑体"/>
          <w:color w:val="000000"/>
          <w:sz w:val="32"/>
          <w:szCs w:val="32"/>
        </w:rPr>
      </w:pPr>
    </w:p>
    <w:p>
      <w:pPr>
        <w:spacing w:line="600" w:lineRule="exact"/>
        <w:rPr>
          <w:rFonts w:hint="eastAsia" w:ascii="黑体" w:hAnsi="黑体" w:eastAsia="黑体" w:cs="黑体"/>
          <w:color w:val="000000"/>
          <w:sz w:val="32"/>
          <w:szCs w:val="32"/>
        </w:rPr>
      </w:pPr>
    </w:p>
    <w:p>
      <w:pPr>
        <w:spacing w:line="600" w:lineRule="exact"/>
        <w:rPr>
          <w:rFonts w:hint="eastAsia" w:ascii="黑体" w:hAnsi="黑体" w:eastAsia="黑体" w:cs="黑体"/>
          <w:color w:val="000000"/>
          <w:sz w:val="32"/>
          <w:szCs w:val="32"/>
        </w:rPr>
      </w:pPr>
    </w:p>
    <w:p>
      <w:pPr>
        <w:spacing w:line="600" w:lineRule="exact"/>
        <w:rPr>
          <w:rFonts w:hint="eastAsia" w:ascii="黑体" w:hAnsi="黑体" w:eastAsia="黑体" w:cs="黑体"/>
          <w:color w:val="000000"/>
          <w:sz w:val="32"/>
          <w:szCs w:val="32"/>
        </w:rPr>
      </w:pPr>
    </w:p>
    <w:p>
      <w:pPr>
        <w:spacing w:line="600" w:lineRule="exact"/>
        <w:rPr>
          <w:rFonts w:hint="eastAsia" w:ascii="黑体" w:hAnsi="黑体" w:eastAsia="黑体" w:cs="黑体"/>
          <w:color w:val="000000"/>
          <w:sz w:val="32"/>
          <w:szCs w:val="32"/>
        </w:rPr>
      </w:pPr>
    </w:p>
    <w:p>
      <w:pPr>
        <w:spacing w:line="600" w:lineRule="exact"/>
        <w:rPr>
          <w:rFonts w:hint="eastAsia" w:ascii="黑体" w:hAnsi="黑体" w:eastAsia="黑体" w:cs="黑体"/>
          <w:color w:val="000000"/>
          <w:sz w:val="32"/>
          <w:szCs w:val="32"/>
        </w:rPr>
      </w:pPr>
    </w:p>
    <w:p>
      <w:pPr>
        <w:spacing w:line="600" w:lineRule="exact"/>
        <w:rPr>
          <w:rFonts w:hint="eastAsia" w:ascii="黑体" w:hAnsi="黑体" w:eastAsia="黑体" w:cs="黑体"/>
          <w:color w:val="000000"/>
          <w:sz w:val="32"/>
          <w:szCs w:val="32"/>
        </w:rPr>
      </w:pPr>
    </w:p>
    <w:p>
      <w:pPr>
        <w:spacing w:line="600" w:lineRule="exact"/>
        <w:rPr>
          <w:rFonts w:hint="eastAsia" w:ascii="黑体" w:hAnsi="黑体" w:eastAsia="黑体" w:cs="黑体"/>
          <w:color w:val="000000"/>
          <w:sz w:val="32"/>
          <w:szCs w:val="32"/>
        </w:rPr>
      </w:pPr>
    </w:p>
    <w:p>
      <w:pPr>
        <w:spacing w:line="600" w:lineRule="exact"/>
        <w:rPr>
          <w:rFonts w:hint="eastAsia" w:ascii="黑体" w:hAnsi="黑体" w:eastAsia="黑体" w:cs="黑体"/>
          <w:color w:val="000000"/>
          <w:sz w:val="32"/>
          <w:szCs w:val="32"/>
        </w:rPr>
      </w:pPr>
    </w:p>
    <w:p>
      <w:pPr>
        <w:spacing w:line="600" w:lineRule="exact"/>
        <w:rPr>
          <w:rFonts w:hint="eastAsia" w:ascii="黑体" w:hAnsi="黑体" w:eastAsia="黑体" w:cs="黑体"/>
          <w:color w:val="000000"/>
          <w:sz w:val="32"/>
          <w:szCs w:val="32"/>
        </w:rPr>
      </w:pPr>
    </w:p>
    <w:p>
      <w:pPr>
        <w:spacing w:line="600" w:lineRule="exact"/>
        <w:rPr>
          <w:rFonts w:hint="eastAsia" w:ascii="黑体" w:hAnsi="黑体" w:eastAsia="黑体" w:cs="黑体"/>
          <w:color w:val="000000"/>
          <w:sz w:val="32"/>
          <w:szCs w:val="32"/>
        </w:rPr>
      </w:pPr>
    </w:p>
    <w:p>
      <w:pPr>
        <w:spacing w:line="600" w:lineRule="exact"/>
        <w:rPr>
          <w:rFonts w:hint="eastAsia" w:ascii="黑体" w:hAnsi="黑体" w:eastAsia="黑体" w:cs="黑体"/>
          <w:color w:val="000000"/>
          <w:sz w:val="32"/>
          <w:szCs w:val="32"/>
        </w:rPr>
      </w:pPr>
    </w:p>
    <w:p>
      <w:pPr>
        <w:spacing w:line="600" w:lineRule="exact"/>
        <w:rPr>
          <w:rFonts w:hint="eastAsia" w:ascii="黑体" w:hAnsi="黑体" w:eastAsia="黑体" w:cs="黑体"/>
          <w:color w:val="000000"/>
          <w:sz w:val="32"/>
          <w:szCs w:val="32"/>
        </w:rPr>
      </w:pPr>
    </w:p>
    <w:p>
      <w:pPr>
        <w:spacing w:line="600" w:lineRule="exact"/>
        <w:rPr>
          <w:rFonts w:hint="eastAsia" w:ascii="黑体" w:hAnsi="黑体" w:eastAsia="黑体" w:cs="黑体"/>
          <w:color w:val="000000"/>
          <w:sz w:val="32"/>
          <w:szCs w:val="32"/>
        </w:rPr>
      </w:pPr>
    </w:p>
    <w:p>
      <w:pPr>
        <w:spacing w:line="600" w:lineRule="exact"/>
        <w:rPr>
          <w:rFonts w:hint="eastAsia" w:ascii="黑体" w:hAnsi="黑体" w:eastAsia="黑体" w:cs="黑体"/>
          <w:color w:val="000000"/>
          <w:sz w:val="32"/>
          <w:szCs w:val="32"/>
        </w:rPr>
      </w:pPr>
    </w:p>
    <w:p>
      <w:pPr>
        <w:spacing w:line="600" w:lineRule="exact"/>
        <w:rPr>
          <w:rFonts w:hint="eastAsia" w:ascii="黑体" w:hAnsi="黑体" w:eastAsia="黑体" w:cs="黑体"/>
          <w:color w:val="000000"/>
          <w:sz w:val="32"/>
          <w:szCs w:val="32"/>
        </w:rPr>
      </w:pPr>
    </w:p>
    <w:p>
      <w:pPr>
        <w:spacing w:line="600" w:lineRule="exact"/>
        <w:rPr>
          <w:rFonts w:hint="eastAsia" w:ascii="方正小标宋简体" w:hAnsi="方正小标宋简体" w:eastAsia="方正小标宋简体" w:cs="方正小标宋简体"/>
          <w:color w:val="000000"/>
          <w:sz w:val="32"/>
          <w:szCs w:val="32"/>
        </w:rPr>
      </w:pPr>
      <w:r>
        <w:rPr>
          <w:rFonts w:hint="eastAsia" w:ascii="黑体" w:hAnsi="黑体" w:eastAsia="黑体" w:cs="黑体"/>
          <w:color w:val="000000"/>
          <w:sz w:val="32"/>
          <w:szCs w:val="32"/>
        </w:rPr>
        <w:t>附件1</w:t>
      </w:r>
    </w:p>
    <w:p>
      <w:pPr>
        <w:spacing w:after="156" w:afterLines="50" w:line="640" w:lineRule="exact"/>
        <w:jc w:val="center"/>
        <w:rPr>
          <w:rFonts w:hint="eastAsia" w:ascii="方正小标宋简体" w:hAnsi="方正小标宋简体" w:eastAsia="方正小标宋简体" w:cs="方正小标宋简体"/>
          <w:color w:val="000000"/>
          <w:sz w:val="40"/>
          <w:szCs w:val="40"/>
        </w:rPr>
      </w:pPr>
      <w:r>
        <w:rPr>
          <w:rFonts w:hint="eastAsia" w:ascii="方正小标宋简体" w:hAnsi="方正小标宋简体" w:eastAsia="方正小标宋简体" w:cs="方正小标宋简体"/>
          <w:color w:val="000000"/>
          <w:sz w:val="40"/>
          <w:szCs w:val="40"/>
          <w:lang w:eastAsia="zh-CN"/>
        </w:rPr>
        <w:t>长沙市气象局</w:t>
      </w:r>
      <w:r>
        <w:rPr>
          <w:rFonts w:hint="eastAsia" w:ascii="方正小标宋简体" w:hAnsi="方正小标宋简体" w:eastAsia="方正小标宋简体" w:cs="方正小标宋简体"/>
          <w:color w:val="000000"/>
          <w:sz w:val="40"/>
          <w:szCs w:val="40"/>
          <w:lang w:val="en-US" w:eastAsia="zh-CN"/>
        </w:rPr>
        <w:t>2022年安全生产监督检查计划表</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4"/>
        <w:gridCol w:w="1088"/>
        <w:gridCol w:w="3990"/>
        <w:gridCol w:w="25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4" w:type="dxa"/>
            <w:noWrap w:val="0"/>
            <w:vAlign w:val="top"/>
          </w:tcPr>
          <w:p>
            <w:pPr>
              <w:spacing w:after="156" w:afterLines="50" w:line="640" w:lineRule="exact"/>
              <w:jc w:val="center"/>
              <w:rPr>
                <w:rFonts w:hint="eastAsia" w:ascii="方正小标宋简体" w:hAnsi="方正小标宋简体" w:eastAsia="方正小标宋简体" w:cs="方正小标宋简体"/>
                <w:color w:val="000000"/>
                <w:sz w:val="36"/>
                <w:szCs w:val="36"/>
                <w:vertAlign w:val="baseline"/>
              </w:rPr>
            </w:pPr>
            <w:r>
              <w:rPr>
                <w:rFonts w:hint="eastAsia" w:ascii="仿宋_GB2312" w:hAnsi="仿宋_GB2312" w:eastAsia="仿宋_GB2312" w:cs="仿宋_GB2312"/>
                <w:b/>
                <w:bCs/>
                <w:color w:val="000000"/>
                <w:szCs w:val="21"/>
              </w:rPr>
              <w:t>检查   时间</w:t>
            </w:r>
          </w:p>
        </w:tc>
        <w:tc>
          <w:tcPr>
            <w:tcW w:w="1088" w:type="dxa"/>
            <w:noWrap w:val="0"/>
            <w:vAlign w:val="center"/>
          </w:tcPr>
          <w:p>
            <w:pPr>
              <w:spacing w:after="156" w:afterLines="50" w:line="640" w:lineRule="exact"/>
              <w:jc w:val="center"/>
              <w:rPr>
                <w:rFonts w:hint="eastAsia" w:ascii="方正小标宋简体" w:hAnsi="方正小标宋简体" w:eastAsia="方正小标宋简体" w:cs="方正小标宋简体"/>
                <w:color w:val="000000"/>
                <w:sz w:val="36"/>
                <w:szCs w:val="36"/>
                <w:vertAlign w:val="baseline"/>
                <w:lang w:eastAsia="zh-CN"/>
              </w:rPr>
            </w:pPr>
            <w:r>
              <w:rPr>
                <w:rFonts w:hint="eastAsia" w:ascii="仿宋_GB2312" w:hAnsi="仿宋_GB2312" w:eastAsia="仿宋_GB2312" w:cs="仿宋_GB2312"/>
                <w:b/>
                <w:bCs/>
                <w:color w:val="000000"/>
                <w:szCs w:val="21"/>
                <w:lang w:eastAsia="zh-CN"/>
              </w:rPr>
              <w:t>序号</w:t>
            </w:r>
          </w:p>
        </w:tc>
        <w:tc>
          <w:tcPr>
            <w:tcW w:w="3990" w:type="dxa"/>
            <w:noWrap w:val="0"/>
            <w:vAlign w:val="center"/>
          </w:tcPr>
          <w:p>
            <w:pPr>
              <w:spacing w:after="156" w:afterLines="50" w:line="640" w:lineRule="exact"/>
              <w:jc w:val="center"/>
              <w:rPr>
                <w:rFonts w:hint="eastAsia" w:ascii="仿宋_GB2312" w:hAnsi="仿宋_GB2312" w:eastAsia="仿宋_GB2312" w:cs="仿宋_GB2312"/>
                <w:b/>
                <w:bCs/>
                <w:color w:val="000000"/>
                <w:szCs w:val="21"/>
                <w:lang w:eastAsia="zh-CN"/>
              </w:rPr>
            </w:pPr>
            <w:r>
              <w:rPr>
                <w:rFonts w:hint="eastAsia" w:ascii="仿宋_GB2312" w:hAnsi="仿宋_GB2312" w:eastAsia="仿宋_GB2312" w:cs="仿宋_GB2312"/>
                <w:b/>
                <w:bCs/>
                <w:color w:val="000000"/>
                <w:szCs w:val="21"/>
                <w:lang w:eastAsia="zh-CN"/>
              </w:rPr>
              <w:t>单位名称</w:t>
            </w:r>
          </w:p>
        </w:tc>
        <w:tc>
          <w:tcPr>
            <w:tcW w:w="2540" w:type="dxa"/>
            <w:noWrap w:val="0"/>
            <w:vAlign w:val="center"/>
          </w:tcPr>
          <w:p>
            <w:pPr>
              <w:spacing w:after="156" w:afterLines="50" w:line="640" w:lineRule="exact"/>
              <w:jc w:val="center"/>
              <w:rPr>
                <w:rFonts w:hint="eastAsia" w:ascii="仿宋_GB2312" w:hAnsi="仿宋_GB2312" w:eastAsia="仿宋_GB2312" w:cs="仿宋_GB2312"/>
                <w:b/>
                <w:bCs/>
                <w:color w:val="000000"/>
                <w:szCs w:val="21"/>
                <w:lang w:eastAsia="zh-CN"/>
              </w:rPr>
            </w:pPr>
            <w:r>
              <w:rPr>
                <w:rFonts w:hint="eastAsia" w:ascii="仿宋_GB2312" w:hAnsi="仿宋_GB2312" w:eastAsia="仿宋_GB2312" w:cs="仿宋_GB2312"/>
                <w:b/>
                <w:bCs/>
                <w:color w:val="000000"/>
                <w:szCs w:val="21"/>
                <w:lang w:eastAsia="zh-CN"/>
              </w:rPr>
              <w:t>单位性质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16" w:hRule="atLeast"/>
          <w:jc w:val="center"/>
        </w:trPr>
        <w:tc>
          <w:tcPr>
            <w:tcW w:w="904" w:type="dxa"/>
            <w:vMerge w:val="restart"/>
            <w:noWrap w:val="0"/>
            <w:vAlign w:val="center"/>
          </w:tcPr>
          <w:p>
            <w:pPr>
              <w:jc w:val="center"/>
              <w:rPr>
                <w:rFonts w:hint="eastAsia" w:ascii="方正小标宋简体" w:hAnsi="方正小标宋简体" w:eastAsia="方正小标宋简体" w:cs="方正小标宋简体"/>
                <w:color w:val="000000"/>
                <w:sz w:val="36"/>
                <w:szCs w:val="36"/>
                <w:vertAlign w:val="baseline"/>
              </w:rPr>
            </w:pPr>
            <w:r>
              <w:rPr>
                <w:rFonts w:hint="eastAsia" w:ascii="仿宋_GB2312" w:hAnsi="仿宋_GB2312" w:eastAsia="仿宋_GB2312" w:cs="仿宋_GB2312"/>
                <w:color w:val="000000"/>
                <w:szCs w:val="21"/>
              </w:rPr>
              <w:t>一月</w:t>
            </w:r>
          </w:p>
        </w:tc>
        <w:tc>
          <w:tcPr>
            <w:tcW w:w="1088" w:type="dxa"/>
            <w:noWrap w:val="0"/>
            <w:vAlign w:val="center"/>
          </w:tcPr>
          <w:p>
            <w:pPr>
              <w:jc w:val="center"/>
              <w:rPr>
                <w:rFonts w:hint="default"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1</w:t>
            </w:r>
          </w:p>
        </w:tc>
        <w:tc>
          <w:tcPr>
            <w:tcW w:w="3990" w:type="dxa"/>
            <w:noWrap w:val="0"/>
            <w:vAlign w:val="top"/>
          </w:tcPr>
          <w:p>
            <w:pPr>
              <w:jc w:val="left"/>
              <w:rPr>
                <w:rFonts w:hint="eastAsia" w:ascii="仿宋_GB2312" w:hAnsi="仿宋_GB2312" w:eastAsia="仿宋_GB2312" w:cs="仿宋_GB2312"/>
                <w:color w:val="000000"/>
                <w:szCs w:val="21"/>
                <w:lang w:eastAsia="zh-CN"/>
              </w:rPr>
            </w:pPr>
            <w:r>
              <w:rPr>
                <w:rFonts w:hint="eastAsia" w:ascii="仿宋_GB2312" w:hAnsi="仿宋_GB2312" w:eastAsia="仿宋_GB2312" w:cs="仿宋_GB2312"/>
                <w:color w:val="000000"/>
                <w:szCs w:val="21"/>
                <w:lang w:eastAsia="zh-CN"/>
              </w:rPr>
              <w:t>中国石油望城铜官油库</w:t>
            </w:r>
          </w:p>
        </w:tc>
        <w:tc>
          <w:tcPr>
            <w:tcW w:w="2540" w:type="dxa"/>
            <w:noWrap w:val="0"/>
            <w:vAlign w:val="center"/>
          </w:tcPr>
          <w:p>
            <w:pPr>
              <w:jc w:val="center"/>
              <w:rPr>
                <w:rFonts w:hint="eastAsia" w:ascii="仿宋_GB2312" w:hAnsi="仿宋_GB2312" w:eastAsia="仿宋_GB2312" w:cs="仿宋_GB2312"/>
                <w:color w:val="000000"/>
                <w:szCs w:val="21"/>
                <w:lang w:eastAsia="zh-CN"/>
              </w:rPr>
            </w:pPr>
            <w:r>
              <w:rPr>
                <w:rFonts w:hint="eastAsia" w:ascii="仿宋_GB2312" w:hAnsi="仿宋_GB2312" w:eastAsia="仿宋_GB2312" w:cs="仿宋_GB2312"/>
                <w:color w:val="000000"/>
                <w:szCs w:val="21"/>
                <w:lang w:val="en-US" w:eastAsia="zh-CN"/>
              </w:rPr>
              <w:t>易燃易爆场所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 w:hRule="atLeast"/>
          <w:jc w:val="center"/>
        </w:trPr>
        <w:tc>
          <w:tcPr>
            <w:tcW w:w="904" w:type="dxa"/>
            <w:vMerge w:val="continue"/>
            <w:noWrap w:val="0"/>
            <w:vAlign w:val="center"/>
          </w:tcPr>
          <w:p>
            <w:pPr>
              <w:jc w:val="left"/>
            </w:pPr>
          </w:p>
        </w:tc>
        <w:tc>
          <w:tcPr>
            <w:tcW w:w="1088" w:type="dxa"/>
            <w:noWrap w:val="0"/>
            <w:vAlign w:val="center"/>
          </w:tcPr>
          <w:p>
            <w:pPr>
              <w:jc w:val="center"/>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2</w:t>
            </w:r>
          </w:p>
        </w:tc>
        <w:tc>
          <w:tcPr>
            <w:tcW w:w="3990" w:type="dxa"/>
            <w:noWrap w:val="0"/>
            <w:vAlign w:val="top"/>
          </w:tcPr>
          <w:p>
            <w:pPr>
              <w:jc w:val="left"/>
              <w:rPr>
                <w:rFonts w:hint="eastAsia" w:ascii="仿宋_GB2312" w:hAnsi="仿宋_GB2312" w:eastAsia="仿宋_GB2312" w:cs="仿宋_GB2312"/>
                <w:color w:val="000000"/>
                <w:szCs w:val="21"/>
                <w:lang w:eastAsia="zh-CN"/>
              </w:rPr>
            </w:pPr>
            <w:r>
              <w:rPr>
                <w:rFonts w:hint="eastAsia" w:ascii="仿宋_GB2312" w:hAnsi="仿宋_GB2312" w:eastAsia="仿宋_GB2312" w:cs="仿宋_GB2312"/>
                <w:color w:val="000000"/>
                <w:szCs w:val="21"/>
                <w:lang w:eastAsia="zh-CN"/>
              </w:rPr>
              <w:t>湖南和顺铜官石油有限公司长沙铜官油库</w:t>
            </w:r>
          </w:p>
        </w:tc>
        <w:tc>
          <w:tcPr>
            <w:tcW w:w="2540" w:type="dxa"/>
            <w:noWrap w:val="0"/>
            <w:vAlign w:val="center"/>
          </w:tcPr>
          <w:p>
            <w:pPr>
              <w:jc w:val="center"/>
              <w:rPr>
                <w:rFonts w:hint="eastAsia" w:ascii="仿宋_GB2312" w:hAnsi="仿宋_GB2312" w:eastAsia="仿宋_GB2312" w:cs="仿宋_GB2312"/>
                <w:color w:val="000000"/>
                <w:szCs w:val="21"/>
                <w:lang w:eastAsia="zh-CN"/>
              </w:rPr>
            </w:pPr>
            <w:r>
              <w:rPr>
                <w:rFonts w:hint="eastAsia" w:ascii="仿宋_GB2312" w:hAnsi="仿宋_GB2312" w:eastAsia="仿宋_GB2312" w:cs="仿宋_GB2312"/>
                <w:color w:val="000000"/>
                <w:szCs w:val="21"/>
                <w:lang w:val="en-US" w:eastAsia="zh-CN"/>
              </w:rPr>
              <w:t>易燃易爆场所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 w:hRule="atLeast"/>
          <w:jc w:val="center"/>
        </w:trPr>
        <w:tc>
          <w:tcPr>
            <w:tcW w:w="904" w:type="dxa"/>
            <w:vMerge w:val="continue"/>
            <w:noWrap w:val="0"/>
            <w:vAlign w:val="center"/>
          </w:tcPr>
          <w:p>
            <w:pPr>
              <w:jc w:val="left"/>
              <w:rPr>
                <w:rFonts w:hint="eastAsia" w:ascii="仿宋_GB2312" w:hAnsi="仿宋_GB2312" w:eastAsia="仿宋_GB2312" w:cs="仿宋_GB2312"/>
                <w:color w:val="000000"/>
                <w:szCs w:val="21"/>
                <w:lang w:eastAsia="zh-CN"/>
              </w:rPr>
            </w:pPr>
          </w:p>
        </w:tc>
        <w:tc>
          <w:tcPr>
            <w:tcW w:w="1088" w:type="dxa"/>
            <w:noWrap w:val="0"/>
            <w:vAlign w:val="center"/>
          </w:tcPr>
          <w:p>
            <w:pPr>
              <w:jc w:val="center"/>
              <w:rPr>
                <w:rFonts w:hint="default"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3</w:t>
            </w:r>
          </w:p>
        </w:tc>
        <w:tc>
          <w:tcPr>
            <w:tcW w:w="3990" w:type="dxa"/>
            <w:noWrap w:val="0"/>
            <w:vAlign w:val="top"/>
          </w:tcPr>
          <w:p>
            <w:pPr>
              <w:jc w:val="left"/>
              <w:rPr>
                <w:rFonts w:hint="eastAsia" w:ascii="仿宋_GB2312" w:hAnsi="仿宋_GB2312" w:eastAsia="仿宋_GB2312" w:cs="仿宋_GB2312"/>
                <w:color w:val="000000"/>
                <w:szCs w:val="21"/>
                <w:lang w:eastAsia="zh-CN"/>
              </w:rPr>
            </w:pPr>
            <w:r>
              <w:rPr>
                <w:rFonts w:hint="eastAsia" w:ascii="仿宋_GB2312" w:hAnsi="仿宋_GB2312" w:eastAsia="仿宋_GB2312" w:cs="仿宋_GB2312"/>
                <w:color w:val="000000"/>
                <w:szCs w:val="21"/>
                <w:lang w:eastAsia="zh-CN"/>
              </w:rPr>
              <w:t>长沙香樟路加油站</w:t>
            </w:r>
          </w:p>
        </w:tc>
        <w:tc>
          <w:tcPr>
            <w:tcW w:w="2540" w:type="dxa"/>
            <w:noWrap w:val="0"/>
            <w:vAlign w:val="center"/>
          </w:tcPr>
          <w:p>
            <w:pPr>
              <w:jc w:val="center"/>
              <w:rPr>
                <w:rFonts w:hint="eastAsia" w:ascii="仿宋_GB2312" w:hAnsi="仿宋_GB2312" w:eastAsia="仿宋_GB2312" w:cs="仿宋_GB2312"/>
                <w:color w:val="000000"/>
                <w:szCs w:val="21"/>
                <w:lang w:eastAsia="zh-CN"/>
              </w:rPr>
            </w:pPr>
            <w:r>
              <w:rPr>
                <w:rFonts w:hint="eastAsia" w:ascii="仿宋_GB2312" w:hAnsi="仿宋_GB2312" w:eastAsia="仿宋_GB2312" w:cs="仿宋_GB2312"/>
                <w:color w:val="000000"/>
                <w:szCs w:val="21"/>
                <w:lang w:val="en-US" w:eastAsia="zh-CN"/>
              </w:rPr>
              <w:t>易燃易爆场所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 w:hRule="atLeast"/>
          <w:jc w:val="center"/>
        </w:trPr>
        <w:tc>
          <w:tcPr>
            <w:tcW w:w="904" w:type="dxa"/>
            <w:vMerge w:val="continue"/>
            <w:noWrap w:val="0"/>
            <w:vAlign w:val="center"/>
          </w:tcPr>
          <w:p>
            <w:pPr>
              <w:jc w:val="left"/>
              <w:rPr>
                <w:rFonts w:hint="eastAsia" w:ascii="仿宋_GB2312" w:hAnsi="仿宋_GB2312" w:eastAsia="仿宋_GB2312" w:cs="仿宋_GB2312"/>
                <w:color w:val="000000"/>
                <w:szCs w:val="21"/>
                <w:lang w:eastAsia="zh-CN"/>
              </w:rPr>
            </w:pPr>
          </w:p>
        </w:tc>
        <w:tc>
          <w:tcPr>
            <w:tcW w:w="1088" w:type="dxa"/>
            <w:noWrap w:val="0"/>
            <w:vAlign w:val="center"/>
          </w:tcPr>
          <w:p>
            <w:pPr>
              <w:jc w:val="center"/>
              <w:rPr>
                <w:rFonts w:hint="default"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4</w:t>
            </w:r>
          </w:p>
        </w:tc>
        <w:tc>
          <w:tcPr>
            <w:tcW w:w="3990" w:type="dxa"/>
            <w:noWrap w:val="0"/>
            <w:vAlign w:val="top"/>
          </w:tcPr>
          <w:p>
            <w:pPr>
              <w:jc w:val="left"/>
              <w:rPr>
                <w:rFonts w:hint="eastAsia" w:ascii="仿宋_GB2312" w:hAnsi="仿宋_GB2312" w:eastAsia="仿宋_GB2312" w:cs="仿宋_GB2312"/>
                <w:color w:val="000000"/>
                <w:szCs w:val="21"/>
                <w:lang w:eastAsia="zh-CN"/>
              </w:rPr>
            </w:pPr>
            <w:r>
              <w:rPr>
                <w:rFonts w:hint="eastAsia" w:ascii="仿宋_GB2312" w:hAnsi="仿宋_GB2312" w:eastAsia="仿宋_GB2312" w:cs="仿宋_GB2312"/>
                <w:color w:val="000000"/>
                <w:szCs w:val="21"/>
                <w:lang w:eastAsia="zh-CN"/>
              </w:rPr>
              <w:t>丽江路加油站</w:t>
            </w:r>
          </w:p>
        </w:tc>
        <w:tc>
          <w:tcPr>
            <w:tcW w:w="2540" w:type="dxa"/>
            <w:noWrap w:val="0"/>
            <w:vAlign w:val="center"/>
          </w:tcPr>
          <w:p>
            <w:pPr>
              <w:jc w:val="center"/>
              <w:rPr>
                <w:rFonts w:hint="eastAsia" w:ascii="仿宋_GB2312" w:hAnsi="仿宋_GB2312" w:eastAsia="仿宋_GB2312" w:cs="仿宋_GB2312"/>
                <w:color w:val="000000"/>
                <w:szCs w:val="21"/>
                <w:lang w:eastAsia="zh-CN"/>
              </w:rPr>
            </w:pPr>
            <w:r>
              <w:rPr>
                <w:rFonts w:hint="eastAsia" w:ascii="仿宋_GB2312" w:hAnsi="仿宋_GB2312" w:eastAsia="仿宋_GB2312" w:cs="仿宋_GB2312"/>
                <w:color w:val="000000"/>
                <w:szCs w:val="21"/>
                <w:lang w:val="en-US" w:eastAsia="zh-CN"/>
              </w:rPr>
              <w:t>易燃易爆场所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 w:hRule="atLeast"/>
          <w:jc w:val="center"/>
        </w:trPr>
        <w:tc>
          <w:tcPr>
            <w:tcW w:w="904" w:type="dxa"/>
            <w:vMerge w:val="continue"/>
            <w:noWrap w:val="0"/>
            <w:vAlign w:val="center"/>
          </w:tcPr>
          <w:p>
            <w:pPr>
              <w:jc w:val="left"/>
              <w:rPr>
                <w:rFonts w:hint="eastAsia" w:ascii="仿宋_GB2312" w:hAnsi="仿宋_GB2312" w:eastAsia="仿宋_GB2312" w:cs="仿宋_GB2312"/>
                <w:color w:val="000000"/>
                <w:szCs w:val="21"/>
                <w:lang w:eastAsia="zh-CN"/>
              </w:rPr>
            </w:pPr>
          </w:p>
        </w:tc>
        <w:tc>
          <w:tcPr>
            <w:tcW w:w="1088" w:type="dxa"/>
            <w:noWrap w:val="0"/>
            <w:vAlign w:val="center"/>
          </w:tcPr>
          <w:p>
            <w:pPr>
              <w:jc w:val="center"/>
              <w:rPr>
                <w:rFonts w:hint="default"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5</w:t>
            </w:r>
          </w:p>
        </w:tc>
        <w:tc>
          <w:tcPr>
            <w:tcW w:w="3990" w:type="dxa"/>
            <w:noWrap w:val="0"/>
            <w:vAlign w:val="top"/>
          </w:tcPr>
          <w:p>
            <w:pPr>
              <w:jc w:val="left"/>
              <w:rPr>
                <w:rFonts w:hint="eastAsia" w:ascii="仿宋_GB2312" w:hAnsi="仿宋_GB2312" w:eastAsia="仿宋_GB2312" w:cs="仿宋_GB2312"/>
                <w:color w:val="000000"/>
                <w:szCs w:val="21"/>
                <w:lang w:eastAsia="zh-CN"/>
              </w:rPr>
            </w:pPr>
            <w:r>
              <w:rPr>
                <w:rFonts w:hint="eastAsia" w:ascii="仿宋_GB2312" w:hAnsi="仿宋_GB2312" w:eastAsia="仿宋_GB2312" w:cs="仿宋_GB2312"/>
                <w:color w:val="000000"/>
                <w:szCs w:val="21"/>
                <w:lang w:eastAsia="zh-CN"/>
              </w:rPr>
              <w:t>七家湖加油站</w:t>
            </w:r>
          </w:p>
        </w:tc>
        <w:tc>
          <w:tcPr>
            <w:tcW w:w="2540" w:type="dxa"/>
            <w:noWrap w:val="0"/>
            <w:vAlign w:val="center"/>
          </w:tcPr>
          <w:p>
            <w:pPr>
              <w:jc w:val="center"/>
              <w:rPr>
                <w:rFonts w:hint="eastAsia" w:ascii="仿宋_GB2312" w:hAnsi="仿宋_GB2312" w:eastAsia="仿宋_GB2312" w:cs="仿宋_GB2312"/>
                <w:color w:val="000000"/>
                <w:szCs w:val="21"/>
                <w:lang w:eastAsia="zh-CN"/>
              </w:rPr>
            </w:pPr>
            <w:r>
              <w:rPr>
                <w:rFonts w:hint="eastAsia" w:ascii="仿宋_GB2312" w:hAnsi="仿宋_GB2312" w:eastAsia="仿宋_GB2312" w:cs="仿宋_GB2312"/>
                <w:color w:val="000000"/>
                <w:szCs w:val="21"/>
                <w:lang w:val="en-US" w:eastAsia="zh-CN"/>
              </w:rPr>
              <w:t>易燃易爆场所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 w:hRule="atLeast"/>
          <w:jc w:val="center"/>
        </w:trPr>
        <w:tc>
          <w:tcPr>
            <w:tcW w:w="904" w:type="dxa"/>
            <w:vMerge w:val="restart"/>
            <w:noWrap w:val="0"/>
            <w:vAlign w:val="center"/>
          </w:tcPr>
          <w:p>
            <w:pPr>
              <w:jc w:val="center"/>
              <w:rPr>
                <w:rFonts w:hint="eastAsia" w:ascii="方正小标宋简体" w:hAnsi="方正小标宋简体" w:eastAsia="方正小标宋简体" w:cs="方正小标宋简体"/>
                <w:color w:val="000000"/>
                <w:sz w:val="36"/>
                <w:szCs w:val="36"/>
                <w:vertAlign w:val="baseline"/>
              </w:rPr>
            </w:pPr>
            <w:r>
              <w:rPr>
                <w:rFonts w:hint="eastAsia" w:ascii="仿宋_GB2312" w:hAnsi="仿宋_GB2312" w:eastAsia="仿宋_GB2312" w:cs="仿宋_GB2312"/>
                <w:color w:val="000000"/>
                <w:szCs w:val="21"/>
              </w:rPr>
              <w:t>二月</w:t>
            </w:r>
          </w:p>
        </w:tc>
        <w:tc>
          <w:tcPr>
            <w:tcW w:w="1088" w:type="dxa"/>
            <w:noWrap w:val="0"/>
            <w:vAlign w:val="center"/>
          </w:tcPr>
          <w:p>
            <w:pPr>
              <w:jc w:val="center"/>
              <w:rPr>
                <w:rFonts w:hint="default"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6</w:t>
            </w:r>
          </w:p>
        </w:tc>
        <w:tc>
          <w:tcPr>
            <w:tcW w:w="3990" w:type="dxa"/>
            <w:noWrap w:val="0"/>
            <w:vAlign w:val="top"/>
          </w:tcPr>
          <w:p>
            <w:pPr>
              <w:jc w:val="left"/>
              <w:rPr>
                <w:rFonts w:hint="eastAsia" w:ascii="仿宋_GB2312" w:hAnsi="仿宋_GB2312" w:eastAsia="仿宋_GB2312" w:cs="仿宋_GB2312"/>
                <w:color w:val="000000"/>
                <w:szCs w:val="21"/>
                <w:lang w:eastAsia="zh-CN"/>
              </w:rPr>
            </w:pPr>
            <w:r>
              <w:rPr>
                <w:rFonts w:hint="eastAsia" w:ascii="仿宋_GB2312" w:hAnsi="仿宋_GB2312" w:eastAsia="仿宋_GB2312" w:cs="仿宋_GB2312"/>
                <w:color w:val="000000"/>
                <w:szCs w:val="21"/>
                <w:lang w:eastAsia="zh-CN"/>
              </w:rPr>
              <w:t>谷山一加油站</w:t>
            </w:r>
          </w:p>
        </w:tc>
        <w:tc>
          <w:tcPr>
            <w:tcW w:w="2540" w:type="dxa"/>
            <w:noWrap w:val="0"/>
            <w:vAlign w:val="center"/>
          </w:tcPr>
          <w:p>
            <w:pPr>
              <w:jc w:val="center"/>
              <w:rPr>
                <w:rFonts w:hint="eastAsia" w:ascii="仿宋_GB2312" w:hAnsi="仿宋_GB2312" w:eastAsia="仿宋_GB2312" w:cs="仿宋_GB2312"/>
                <w:color w:val="000000"/>
                <w:szCs w:val="21"/>
                <w:lang w:eastAsia="zh-CN"/>
              </w:rPr>
            </w:pPr>
            <w:r>
              <w:rPr>
                <w:rFonts w:hint="eastAsia" w:ascii="仿宋_GB2312" w:hAnsi="仿宋_GB2312" w:eastAsia="仿宋_GB2312" w:cs="仿宋_GB2312"/>
                <w:color w:val="000000"/>
                <w:szCs w:val="21"/>
                <w:lang w:val="en-US" w:eastAsia="zh-CN"/>
              </w:rPr>
              <w:t>易燃易爆场所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 w:hRule="atLeast"/>
          <w:jc w:val="center"/>
        </w:trPr>
        <w:tc>
          <w:tcPr>
            <w:tcW w:w="904" w:type="dxa"/>
            <w:vMerge w:val="continue"/>
            <w:noWrap w:val="0"/>
            <w:vAlign w:val="center"/>
          </w:tcPr>
          <w:p>
            <w:pPr>
              <w:jc w:val="left"/>
            </w:pPr>
          </w:p>
        </w:tc>
        <w:tc>
          <w:tcPr>
            <w:tcW w:w="1088" w:type="dxa"/>
            <w:noWrap w:val="0"/>
            <w:vAlign w:val="center"/>
          </w:tcPr>
          <w:p>
            <w:pPr>
              <w:jc w:val="center"/>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7</w:t>
            </w:r>
          </w:p>
        </w:tc>
        <w:tc>
          <w:tcPr>
            <w:tcW w:w="3990" w:type="dxa"/>
            <w:noWrap w:val="0"/>
            <w:vAlign w:val="top"/>
          </w:tcPr>
          <w:p>
            <w:pPr>
              <w:jc w:val="left"/>
              <w:rPr>
                <w:rFonts w:hint="eastAsia" w:ascii="仿宋_GB2312" w:hAnsi="仿宋_GB2312" w:eastAsia="仿宋_GB2312" w:cs="仿宋_GB2312"/>
                <w:color w:val="000000"/>
                <w:szCs w:val="21"/>
                <w:lang w:eastAsia="zh-CN"/>
              </w:rPr>
            </w:pPr>
            <w:r>
              <w:rPr>
                <w:rFonts w:hint="eastAsia" w:ascii="仿宋_GB2312" w:hAnsi="仿宋_GB2312" w:eastAsia="仿宋_GB2312" w:cs="仿宋_GB2312"/>
                <w:color w:val="000000"/>
                <w:szCs w:val="21"/>
                <w:lang w:eastAsia="zh-CN"/>
              </w:rPr>
              <w:t>谷山二加油站</w:t>
            </w:r>
          </w:p>
        </w:tc>
        <w:tc>
          <w:tcPr>
            <w:tcW w:w="2540" w:type="dxa"/>
            <w:noWrap w:val="0"/>
            <w:vAlign w:val="center"/>
          </w:tcPr>
          <w:p>
            <w:pPr>
              <w:jc w:val="center"/>
              <w:rPr>
                <w:rFonts w:hint="eastAsia" w:ascii="仿宋_GB2312" w:hAnsi="仿宋_GB2312" w:eastAsia="仿宋_GB2312" w:cs="仿宋_GB2312"/>
                <w:color w:val="000000"/>
                <w:szCs w:val="21"/>
                <w:lang w:eastAsia="zh-CN"/>
              </w:rPr>
            </w:pPr>
            <w:r>
              <w:rPr>
                <w:rFonts w:hint="eastAsia" w:ascii="仿宋_GB2312" w:hAnsi="仿宋_GB2312" w:eastAsia="仿宋_GB2312" w:cs="仿宋_GB2312"/>
                <w:color w:val="000000"/>
                <w:szCs w:val="21"/>
                <w:lang w:val="en-US" w:eastAsia="zh-CN"/>
              </w:rPr>
              <w:t>易燃易爆场所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 w:hRule="atLeast"/>
          <w:jc w:val="center"/>
        </w:trPr>
        <w:tc>
          <w:tcPr>
            <w:tcW w:w="904" w:type="dxa"/>
            <w:vMerge w:val="continue"/>
            <w:noWrap w:val="0"/>
            <w:vAlign w:val="center"/>
          </w:tcPr>
          <w:p>
            <w:pPr>
              <w:jc w:val="left"/>
              <w:rPr>
                <w:rFonts w:hint="eastAsia" w:ascii="仿宋_GB2312" w:hAnsi="仿宋_GB2312" w:eastAsia="仿宋_GB2312" w:cs="仿宋_GB2312"/>
                <w:color w:val="000000"/>
                <w:szCs w:val="21"/>
                <w:lang w:eastAsia="zh-CN"/>
              </w:rPr>
            </w:pPr>
          </w:p>
        </w:tc>
        <w:tc>
          <w:tcPr>
            <w:tcW w:w="1088" w:type="dxa"/>
            <w:noWrap w:val="0"/>
            <w:vAlign w:val="center"/>
          </w:tcPr>
          <w:p>
            <w:pPr>
              <w:jc w:val="center"/>
              <w:rPr>
                <w:rFonts w:hint="default"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8</w:t>
            </w:r>
          </w:p>
        </w:tc>
        <w:tc>
          <w:tcPr>
            <w:tcW w:w="3990" w:type="dxa"/>
            <w:noWrap w:val="0"/>
            <w:vAlign w:val="top"/>
          </w:tcPr>
          <w:p>
            <w:pPr>
              <w:jc w:val="left"/>
              <w:rPr>
                <w:rFonts w:hint="eastAsia" w:ascii="仿宋_GB2312" w:hAnsi="仿宋_GB2312" w:eastAsia="仿宋_GB2312" w:cs="仿宋_GB2312"/>
                <w:color w:val="000000"/>
                <w:szCs w:val="21"/>
                <w:lang w:eastAsia="zh-CN"/>
              </w:rPr>
            </w:pPr>
            <w:r>
              <w:rPr>
                <w:rFonts w:hint="eastAsia" w:ascii="仿宋_GB2312" w:hAnsi="仿宋_GB2312" w:eastAsia="仿宋_GB2312" w:cs="仿宋_GB2312"/>
                <w:color w:val="000000"/>
                <w:szCs w:val="21"/>
                <w:lang w:eastAsia="zh-CN"/>
              </w:rPr>
              <w:t>长沙佰利信息咨询有限公司（顺丰加油站）</w:t>
            </w:r>
          </w:p>
        </w:tc>
        <w:tc>
          <w:tcPr>
            <w:tcW w:w="2540" w:type="dxa"/>
            <w:noWrap w:val="0"/>
            <w:vAlign w:val="center"/>
          </w:tcPr>
          <w:p>
            <w:pPr>
              <w:jc w:val="center"/>
              <w:rPr>
                <w:rFonts w:hint="eastAsia" w:ascii="仿宋_GB2312" w:hAnsi="仿宋_GB2312" w:eastAsia="仿宋_GB2312" w:cs="仿宋_GB2312"/>
                <w:color w:val="000000"/>
                <w:szCs w:val="21"/>
                <w:lang w:eastAsia="zh-CN"/>
              </w:rPr>
            </w:pPr>
            <w:r>
              <w:rPr>
                <w:rFonts w:hint="eastAsia" w:ascii="仿宋_GB2312" w:hAnsi="仿宋_GB2312" w:eastAsia="仿宋_GB2312" w:cs="仿宋_GB2312"/>
                <w:color w:val="000000"/>
                <w:szCs w:val="21"/>
                <w:lang w:val="en-US" w:eastAsia="zh-CN"/>
              </w:rPr>
              <w:t>易燃易爆场所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jc w:val="center"/>
        </w:trPr>
        <w:tc>
          <w:tcPr>
            <w:tcW w:w="904" w:type="dxa"/>
            <w:vMerge w:val="continue"/>
            <w:noWrap w:val="0"/>
            <w:vAlign w:val="center"/>
          </w:tcPr>
          <w:p>
            <w:pPr>
              <w:jc w:val="left"/>
              <w:rPr>
                <w:rFonts w:hint="eastAsia" w:ascii="仿宋_GB2312" w:hAnsi="仿宋_GB2312" w:eastAsia="仿宋_GB2312" w:cs="仿宋_GB2312"/>
                <w:color w:val="000000"/>
                <w:szCs w:val="21"/>
                <w:lang w:eastAsia="zh-CN"/>
              </w:rPr>
            </w:pPr>
          </w:p>
        </w:tc>
        <w:tc>
          <w:tcPr>
            <w:tcW w:w="1088" w:type="dxa"/>
            <w:noWrap w:val="0"/>
            <w:vAlign w:val="center"/>
          </w:tcPr>
          <w:p>
            <w:pPr>
              <w:jc w:val="center"/>
              <w:rPr>
                <w:rFonts w:hint="default"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9</w:t>
            </w:r>
          </w:p>
        </w:tc>
        <w:tc>
          <w:tcPr>
            <w:tcW w:w="3990" w:type="dxa"/>
            <w:noWrap w:val="0"/>
            <w:vAlign w:val="top"/>
          </w:tcPr>
          <w:p>
            <w:pPr>
              <w:jc w:val="left"/>
              <w:rPr>
                <w:rFonts w:hint="eastAsia" w:ascii="仿宋_GB2312" w:hAnsi="仿宋_GB2312" w:eastAsia="仿宋_GB2312" w:cs="仿宋_GB2312"/>
                <w:color w:val="000000"/>
                <w:szCs w:val="21"/>
                <w:lang w:eastAsia="zh-CN"/>
              </w:rPr>
            </w:pPr>
            <w:r>
              <w:rPr>
                <w:rFonts w:hint="eastAsia" w:ascii="仿宋_GB2312" w:hAnsi="仿宋_GB2312" w:eastAsia="仿宋_GB2312" w:cs="仿宋_GB2312"/>
                <w:color w:val="000000"/>
                <w:szCs w:val="21"/>
                <w:lang w:eastAsia="zh-CN"/>
              </w:rPr>
              <w:t>长沙金石润滑油贸易有限公司（金石加油站）</w:t>
            </w:r>
          </w:p>
        </w:tc>
        <w:tc>
          <w:tcPr>
            <w:tcW w:w="2540" w:type="dxa"/>
            <w:noWrap w:val="0"/>
            <w:vAlign w:val="center"/>
          </w:tcPr>
          <w:p>
            <w:pPr>
              <w:jc w:val="center"/>
              <w:rPr>
                <w:rFonts w:hint="eastAsia" w:ascii="仿宋_GB2312" w:hAnsi="仿宋_GB2312" w:eastAsia="仿宋_GB2312" w:cs="仿宋_GB2312"/>
                <w:color w:val="000000"/>
                <w:szCs w:val="21"/>
                <w:lang w:eastAsia="zh-CN"/>
              </w:rPr>
            </w:pPr>
            <w:r>
              <w:rPr>
                <w:rFonts w:hint="eastAsia" w:ascii="仿宋_GB2312" w:hAnsi="仿宋_GB2312" w:eastAsia="仿宋_GB2312" w:cs="仿宋_GB2312"/>
                <w:color w:val="000000"/>
                <w:szCs w:val="21"/>
                <w:lang w:val="en-US" w:eastAsia="zh-CN"/>
              </w:rPr>
              <w:t>易燃易爆场所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jc w:val="center"/>
        </w:trPr>
        <w:tc>
          <w:tcPr>
            <w:tcW w:w="904" w:type="dxa"/>
            <w:vMerge w:val="continue"/>
            <w:noWrap w:val="0"/>
            <w:vAlign w:val="center"/>
          </w:tcPr>
          <w:p>
            <w:pPr>
              <w:jc w:val="center"/>
            </w:pPr>
          </w:p>
        </w:tc>
        <w:tc>
          <w:tcPr>
            <w:tcW w:w="1088" w:type="dxa"/>
            <w:noWrap w:val="0"/>
            <w:vAlign w:val="center"/>
          </w:tcPr>
          <w:p>
            <w:pPr>
              <w:jc w:val="center"/>
              <w:rPr>
                <w:rFonts w:hint="default"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10</w:t>
            </w:r>
          </w:p>
        </w:tc>
        <w:tc>
          <w:tcPr>
            <w:tcW w:w="3990" w:type="dxa"/>
            <w:noWrap w:val="0"/>
            <w:vAlign w:val="top"/>
          </w:tcPr>
          <w:p>
            <w:pPr>
              <w:jc w:val="left"/>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eastAsia="zh-CN"/>
              </w:rPr>
              <w:t>全民加油站</w:t>
            </w:r>
          </w:p>
        </w:tc>
        <w:tc>
          <w:tcPr>
            <w:tcW w:w="2540" w:type="dxa"/>
            <w:noWrap w:val="0"/>
            <w:vAlign w:val="center"/>
          </w:tcPr>
          <w:p>
            <w:pPr>
              <w:jc w:val="center"/>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易燃易爆场所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jc w:val="center"/>
        </w:trPr>
        <w:tc>
          <w:tcPr>
            <w:tcW w:w="904" w:type="dxa"/>
            <w:vMerge w:val="restart"/>
            <w:noWrap w:val="0"/>
            <w:vAlign w:val="center"/>
          </w:tcPr>
          <w:p>
            <w:pPr>
              <w:jc w:val="center"/>
              <w:rPr>
                <w:rFonts w:hint="eastAsia" w:ascii="方正小标宋简体" w:hAnsi="方正小标宋简体" w:eastAsia="方正小标宋简体" w:cs="方正小标宋简体"/>
                <w:color w:val="000000"/>
                <w:sz w:val="36"/>
                <w:szCs w:val="36"/>
                <w:vertAlign w:val="baseline"/>
              </w:rPr>
            </w:pPr>
            <w:r>
              <w:rPr>
                <w:rFonts w:hint="eastAsia" w:ascii="仿宋_GB2312" w:hAnsi="仿宋_GB2312" w:eastAsia="仿宋_GB2312" w:cs="仿宋_GB2312"/>
                <w:color w:val="000000"/>
                <w:szCs w:val="21"/>
              </w:rPr>
              <w:t>三月</w:t>
            </w:r>
          </w:p>
        </w:tc>
        <w:tc>
          <w:tcPr>
            <w:tcW w:w="1088" w:type="dxa"/>
            <w:noWrap w:val="0"/>
            <w:vAlign w:val="center"/>
          </w:tcPr>
          <w:p>
            <w:pPr>
              <w:jc w:val="center"/>
              <w:rPr>
                <w:rFonts w:hint="default"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11</w:t>
            </w:r>
          </w:p>
        </w:tc>
        <w:tc>
          <w:tcPr>
            <w:tcW w:w="3990" w:type="dxa"/>
            <w:noWrap w:val="0"/>
            <w:vAlign w:val="top"/>
          </w:tcPr>
          <w:p>
            <w:pPr>
              <w:jc w:val="left"/>
              <w:rPr>
                <w:rFonts w:hint="eastAsia" w:ascii="仿宋_GB2312" w:hAnsi="仿宋_GB2312" w:eastAsia="仿宋_GB2312" w:cs="仿宋_GB2312"/>
                <w:color w:val="000000"/>
                <w:szCs w:val="21"/>
                <w:lang w:eastAsia="zh-CN"/>
              </w:rPr>
            </w:pPr>
            <w:r>
              <w:rPr>
                <w:rFonts w:hint="eastAsia" w:ascii="仿宋_GB2312" w:hAnsi="仿宋_GB2312" w:eastAsia="仿宋_GB2312" w:cs="仿宋_GB2312"/>
                <w:color w:val="000000"/>
                <w:szCs w:val="21"/>
                <w:lang w:eastAsia="zh-CN"/>
              </w:rPr>
              <w:t>中石化长沙石油分公司望城坡二加油站</w:t>
            </w:r>
          </w:p>
        </w:tc>
        <w:tc>
          <w:tcPr>
            <w:tcW w:w="2540" w:type="dxa"/>
            <w:noWrap w:val="0"/>
            <w:vAlign w:val="center"/>
          </w:tcPr>
          <w:p>
            <w:pPr>
              <w:jc w:val="center"/>
              <w:rPr>
                <w:rFonts w:hint="eastAsia" w:ascii="仿宋_GB2312" w:hAnsi="仿宋_GB2312" w:eastAsia="仿宋_GB2312" w:cs="仿宋_GB2312"/>
                <w:color w:val="000000"/>
                <w:szCs w:val="21"/>
                <w:lang w:eastAsia="zh-CN"/>
              </w:rPr>
            </w:pPr>
            <w:r>
              <w:rPr>
                <w:rFonts w:hint="eastAsia" w:ascii="仿宋_GB2312" w:hAnsi="仿宋_GB2312" w:eastAsia="仿宋_GB2312" w:cs="仿宋_GB2312"/>
                <w:color w:val="000000"/>
                <w:szCs w:val="21"/>
                <w:lang w:val="en-US" w:eastAsia="zh-CN"/>
              </w:rPr>
              <w:t>易燃易爆场所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jc w:val="center"/>
        </w:trPr>
        <w:tc>
          <w:tcPr>
            <w:tcW w:w="904" w:type="dxa"/>
            <w:vMerge w:val="continue"/>
            <w:noWrap w:val="0"/>
            <w:vAlign w:val="center"/>
          </w:tcPr>
          <w:p>
            <w:pPr>
              <w:jc w:val="left"/>
            </w:pPr>
          </w:p>
        </w:tc>
        <w:tc>
          <w:tcPr>
            <w:tcW w:w="1088" w:type="dxa"/>
            <w:noWrap w:val="0"/>
            <w:vAlign w:val="center"/>
          </w:tcPr>
          <w:p>
            <w:pPr>
              <w:jc w:val="center"/>
              <w:rPr>
                <w:rFonts w:hint="default"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12</w:t>
            </w:r>
          </w:p>
        </w:tc>
        <w:tc>
          <w:tcPr>
            <w:tcW w:w="3990" w:type="dxa"/>
            <w:noWrap w:val="0"/>
            <w:vAlign w:val="top"/>
          </w:tcPr>
          <w:p>
            <w:pPr>
              <w:jc w:val="left"/>
              <w:rPr>
                <w:rFonts w:hint="eastAsia" w:ascii="仿宋_GB2312" w:hAnsi="仿宋_GB2312" w:eastAsia="仿宋_GB2312" w:cs="仿宋_GB2312"/>
                <w:color w:val="000000"/>
                <w:szCs w:val="21"/>
                <w:lang w:eastAsia="zh-CN"/>
              </w:rPr>
            </w:pPr>
            <w:r>
              <w:rPr>
                <w:rFonts w:hint="eastAsia" w:ascii="仿宋_GB2312" w:hAnsi="仿宋_GB2312" w:eastAsia="仿宋_GB2312" w:cs="仿宋_GB2312"/>
                <w:color w:val="000000"/>
                <w:szCs w:val="21"/>
                <w:lang w:eastAsia="zh-CN"/>
              </w:rPr>
              <w:t>中国石油天然气股份有限公司湖南长沙销售分公司金鑫加油站</w:t>
            </w:r>
          </w:p>
        </w:tc>
        <w:tc>
          <w:tcPr>
            <w:tcW w:w="2540" w:type="dxa"/>
            <w:noWrap w:val="0"/>
            <w:vAlign w:val="center"/>
          </w:tcPr>
          <w:p>
            <w:pPr>
              <w:jc w:val="center"/>
              <w:rPr>
                <w:rFonts w:hint="eastAsia" w:ascii="仿宋_GB2312" w:hAnsi="仿宋_GB2312" w:eastAsia="仿宋_GB2312" w:cs="仿宋_GB2312"/>
                <w:color w:val="000000"/>
                <w:szCs w:val="21"/>
                <w:lang w:eastAsia="zh-CN"/>
              </w:rPr>
            </w:pPr>
            <w:r>
              <w:rPr>
                <w:rFonts w:hint="eastAsia" w:ascii="仿宋_GB2312" w:hAnsi="仿宋_GB2312" w:eastAsia="仿宋_GB2312" w:cs="仿宋_GB2312"/>
                <w:color w:val="000000"/>
                <w:szCs w:val="21"/>
                <w:lang w:val="en-US" w:eastAsia="zh-CN"/>
              </w:rPr>
              <w:t>易燃易爆场所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jc w:val="center"/>
        </w:trPr>
        <w:tc>
          <w:tcPr>
            <w:tcW w:w="904" w:type="dxa"/>
            <w:vMerge w:val="continue"/>
            <w:noWrap w:val="0"/>
            <w:vAlign w:val="center"/>
          </w:tcPr>
          <w:p>
            <w:pPr>
              <w:jc w:val="left"/>
              <w:rPr>
                <w:rFonts w:hint="eastAsia" w:ascii="仿宋_GB2312" w:hAnsi="仿宋_GB2312" w:eastAsia="仿宋_GB2312" w:cs="仿宋_GB2312"/>
                <w:color w:val="000000"/>
                <w:szCs w:val="21"/>
                <w:lang w:eastAsia="zh-CN"/>
              </w:rPr>
            </w:pPr>
          </w:p>
        </w:tc>
        <w:tc>
          <w:tcPr>
            <w:tcW w:w="1088" w:type="dxa"/>
            <w:noWrap w:val="0"/>
            <w:vAlign w:val="center"/>
          </w:tcPr>
          <w:p>
            <w:pPr>
              <w:jc w:val="center"/>
              <w:rPr>
                <w:rFonts w:hint="default"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13</w:t>
            </w:r>
          </w:p>
        </w:tc>
        <w:tc>
          <w:tcPr>
            <w:tcW w:w="3990" w:type="dxa"/>
            <w:noWrap w:val="0"/>
            <w:vAlign w:val="top"/>
          </w:tcPr>
          <w:p>
            <w:pPr>
              <w:jc w:val="left"/>
              <w:rPr>
                <w:rFonts w:hint="eastAsia" w:ascii="仿宋_GB2312" w:hAnsi="仿宋_GB2312" w:eastAsia="仿宋_GB2312" w:cs="仿宋_GB2312"/>
                <w:color w:val="000000"/>
                <w:szCs w:val="21"/>
                <w:lang w:eastAsia="zh-CN"/>
              </w:rPr>
            </w:pPr>
            <w:r>
              <w:rPr>
                <w:rFonts w:hint="eastAsia" w:ascii="仿宋_GB2312" w:hAnsi="仿宋_GB2312" w:eastAsia="仿宋_GB2312" w:cs="仿宋_GB2312"/>
                <w:color w:val="000000"/>
                <w:szCs w:val="21"/>
                <w:lang w:eastAsia="zh-CN"/>
              </w:rPr>
              <w:t>中国石化销售有限公司湖南长沙石油分公司（鸿泰加油站）</w:t>
            </w:r>
          </w:p>
        </w:tc>
        <w:tc>
          <w:tcPr>
            <w:tcW w:w="2540" w:type="dxa"/>
            <w:noWrap w:val="0"/>
            <w:vAlign w:val="center"/>
          </w:tcPr>
          <w:p>
            <w:pPr>
              <w:jc w:val="center"/>
              <w:rPr>
                <w:rFonts w:hint="eastAsia" w:ascii="仿宋_GB2312" w:hAnsi="仿宋_GB2312" w:eastAsia="仿宋_GB2312" w:cs="仿宋_GB2312"/>
                <w:color w:val="000000"/>
                <w:szCs w:val="21"/>
                <w:lang w:eastAsia="zh-CN"/>
              </w:rPr>
            </w:pPr>
            <w:r>
              <w:rPr>
                <w:rFonts w:hint="eastAsia" w:ascii="仿宋_GB2312" w:hAnsi="仿宋_GB2312" w:eastAsia="仿宋_GB2312" w:cs="仿宋_GB2312"/>
                <w:color w:val="000000"/>
                <w:szCs w:val="21"/>
                <w:lang w:val="en-US" w:eastAsia="zh-CN"/>
              </w:rPr>
              <w:t>易燃易爆场所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jc w:val="center"/>
        </w:trPr>
        <w:tc>
          <w:tcPr>
            <w:tcW w:w="904" w:type="dxa"/>
            <w:vMerge w:val="continue"/>
            <w:noWrap w:val="0"/>
            <w:vAlign w:val="center"/>
          </w:tcPr>
          <w:p>
            <w:pPr>
              <w:jc w:val="left"/>
              <w:rPr>
                <w:rFonts w:hint="eastAsia" w:ascii="仿宋_GB2312" w:hAnsi="仿宋_GB2312" w:eastAsia="仿宋_GB2312" w:cs="仿宋_GB2312"/>
                <w:color w:val="000000"/>
                <w:szCs w:val="21"/>
                <w:lang w:eastAsia="zh-CN"/>
              </w:rPr>
            </w:pPr>
          </w:p>
        </w:tc>
        <w:tc>
          <w:tcPr>
            <w:tcW w:w="1088" w:type="dxa"/>
            <w:noWrap w:val="0"/>
            <w:vAlign w:val="center"/>
          </w:tcPr>
          <w:p>
            <w:pPr>
              <w:jc w:val="center"/>
              <w:rPr>
                <w:rFonts w:hint="default"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14</w:t>
            </w:r>
          </w:p>
        </w:tc>
        <w:tc>
          <w:tcPr>
            <w:tcW w:w="3990" w:type="dxa"/>
            <w:noWrap w:val="0"/>
            <w:vAlign w:val="top"/>
          </w:tcPr>
          <w:p>
            <w:pPr>
              <w:jc w:val="left"/>
              <w:rPr>
                <w:rFonts w:hint="eastAsia" w:ascii="仿宋_GB2312" w:hAnsi="仿宋_GB2312" w:eastAsia="仿宋_GB2312" w:cs="仿宋_GB2312"/>
                <w:color w:val="000000"/>
                <w:szCs w:val="21"/>
                <w:lang w:eastAsia="zh-CN"/>
              </w:rPr>
            </w:pPr>
            <w:r>
              <w:rPr>
                <w:rFonts w:hint="eastAsia" w:ascii="仿宋_GB2312" w:hAnsi="仿宋_GB2312" w:eastAsia="仿宋_GB2312" w:cs="仿宋_GB2312"/>
                <w:color w:val="000000"/>
                <w:szCs w:val="21"/>
                <w:lang w:eastAsia="zh-CN"/>
              </w:rPr>
              <w:t>晨丰加油站</w:t>
            </w:r>
          </w:p>
        </w:tc>
        <w:tc>
          <w:tcPr>
            <w:tcW w:w="2540" w:type="dxa"/>
            <w:noWrap w:val="0"/>
            <w:vAlign w:val="center"/>
          </w:tcPr>
          <w:p>
            <w:pPr>
              <w:jc w:val="center"/>
              <w:rPr>
                <w:rFonts w:hint="eastAsia" w:ascii="仿宋_GB2312" w:hAnsi="仿宋_GB2312" w:eastAsia="仿宋_GB2312" w:cs="仿宋_GB2312"/>
                <w:color w:val="000000"/>
                <w:szCs w:val="21"/>
                <w:lang w:eastAsia="zh-CN"/>
              </w:rPr>
            </w:pPr>
            <w:r>
              <w:rPr>
                <w:rFonts w:hint="eastAsia" w:ascii="仿宋_GB2312" w:hAnsi="仿宋_GB2312" w:eastAsia="仿宋_GB2312" w:cs="仿宋_GB2312"/>
                <w:color w:val="000000"/>
                <w:szCs w:val="21"/>
                <w:lang w:val="en-US" w:eastAsia="zh-CN"/>
              </w:rPr>
              <w:t>易燃易爆场所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jc w:val="center"/>
        </w:trPr>
        <w:tc>
          <w:tcPr>
            <w:tcW w:w="904" w:type="dxa"/>
            <w:vMerge w:val="continue"/>
            <w:noWrap w:val="0"/>
            <w:vAlign w:val="center"/>
          </w:tcPr>
          <w:p>
            <w:pPr>
              <w:jc w:val="left"/>
              <w:rPr>
                <w:rFonts w:hint="eastAsia" w:ascii="仿宋_GB2312" w:hAnsi="仿宋_GB2312" w:eastAsia="仿宋_GB2312" w:cs="仿宋_GB2312"/>
                <w:color w:val="000000"/>
                <w:szCs w:val="21"/>
                <w:lang w:eastAsia="zh-CN"/>
              </w:rPr>
            </w:pPr>
          </w:p>
        </w:tc>
        <w:tc>
          <w:tcPr>
            <w:tcW w:w="1088" w:type="dxa"/>
            <w:noWrap w:val="0"/>
            <w:vAlign w:val="center"/>
          </w:tcPr>
          <w:p>
            <w:pPr>
              <w:jc w:val="center"/>
              <w:rPr>
                <w:rFonts w:hint="default"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15</w:t>
            </w:r>
          </w:p>
        </w:tc>
        <w:tc>
          <w:tcPr>
            <w:tcW w:w="3990" w:type="dxa"/>
            <w:noWrap w:val="0"/>
            <w:vAlign w:val="top"/>
          </w:tcPr>
          <w:p>
            <w:pPr>
              <w:jc w:val="left"/>
              <w:rPr>
                <w:rFonts w:hint="eastAsia" w:ascii="仿宋_GB2312" w:hAnsi="仿宋_GB2312" w:eastAsia="仿宋_GB2312" w:cs="仿宋_GB2312"/>
                <w:color w:val="000000"/>
                <w:szCs w:val="21"/>
                <w:lang w:eastAsia="zh-CN"/>
              </w:rPr>
            </w:pPr>
            <w:r>
              <w:rPr>
                <w:rFonts w:hint="eastAsia" w:ascii="仿宋_GB2312" w:hAnsi="仿宋_GB2312" w:eastAsia="仿宋_GB2312" w:cs="仿宋_GB2312"/>
                <w:color w:val="000000"/>
                <w:szCs w:val="21"/>
                <w:lang w:eastAsia="zh-CN"/>
              </w:rPr>
              <w:t>湖南商厦军安实业有限公司（军云站）</w:t>
            </w:r>
          </w:p>
        </w:tc>
        <w:tc>
          <w:tcPr>
            <w:tcW w:w="2540" w:type="dxa"/>
            <w:noWrap w:val="0"/>
            <w:vAlign w:val="center"/>
          </w:tcPr>
          <w:p>
            <w:pPr>
              <w:jc w:val="center"/>
              <w:rPr>
                <w:rFonts w:hint="eastAsia" w:ascii="仿宋_GB2312" w:hAnsi="仿宋_GB2312" w:eastAsia="仿宋_GB2312" w:cs="仿宋_GB2312"/>
                <w:color w:val="000000"/>
                <w:szCs w:val="21"/>
                <w:lang w:eastAsia="zh-CN"/>
              </w:rPr>
            </w:pPr>
            <w:r>
              <w:rPr>
                <w:rFonts w:hint="eastAsia" w:ascii="仿宋_GB2312" w:hAnsi="仿宋_GB2312" w:eastAsia="仿宋_GB2312" w:cs="仿宋_GB2312"/>
                <w:color w:val="000000"/>
                <w:szCs w:val="21"/>
                <w:lang w:val="en-US" w:eastAsia="zh-CN"/>
              </w:rPr>
              <w:t>易燃易爆场所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jc w:val="center"/>
        </w:trPr>
        <w:tc>
          <w:tcPr>
            <w:tcW w:w="904" w:type="dxa"/>
            <w:vMerge w:val="restart"/>
            <w:noWrap w:val="0"/>
            <w:vAlign w:val="center"/>
          </w:tcPr>
          <w:p>
            <w:pPr>
              <w:jc w:val="center"/>
              <w:rPr>
                <w:rFonts w:hint="eastAsia" w:ascii="方正小标宋简体" w:hAnsi="方正小标宋简体" w:eastAsia="方正小标宋简体" w:cs="方正小标宋简体"/>
                <w:color w:val="000000"/>
                <w:sz w:val="36"/>
                <w:szCs w:val="36"/>
                <w:vertAlign w:val="baseline"/>
              </w:rPr>
            </w:pPr>
            <w:r>
              <w:rPr>
                <w:rFonts w:hint="eastAsia" w:ascii="仿宋_GB2312" w:hAnsi="仿宋_GB2312" w:eastAsia="仿宋_GB2312" w:cs="仿宋_GB2312"/>
                <w:color w:val="000000"/>
                <w:szCs w:val="21"/>
              </w:rPr>
              <w:t>四月</w:t>
            </w:r>
          </w:p>
        </w:tc>
        <w:tc>
          <w:tcPr>
            <w:tcW w:w="1088" w:type="dxa"/>
            <w:noWrap w:val="0"/>
            <w:vAlign w:val="center"/>
          </w:tcPr>
          <w:p>
            <w:pPr>
              <w:jc w:val="center"/>
              <w:rPr>
                <w:rFonts w:hint="default"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16</w:t>
            </w:r>
          </w:p>
        </w:tc>
        <w:tc>
          <w:tcPr>
            <w:tcW w:w="3990" w:type="dxa"/>
            <w:noWrap w:val="0"/>
            <w:vAlign w:val="top"/>
          </w:tcPr>
          <w:p>
            <w:pPr>
              <w:jc w:val="left"/>
              <w:rPr>
                <w:rFonts w:hint="eastAsia" w:ascii="仿宋_GB2312" w:hAnsi="仿宋_GB2312" w:eastAsia="仿宋_GB2312" w:cs="仿宋_GB2312"/>
                <w:color w:val="000000"/>
                <w:szCs w:val="21"/>
                <w:lang w:eastAsia="zh-CN"/>
              </w:rPr>
            </w:pPr>
            <w:r>
              <w:rPr>
                <w:rFonts w:hint="eastAsia" w:ascii="仿宋_GB2312" w:hAnsi="仿宋_GB2312" w:eastAsia="仿宋_GB2312" w:cs="仿宋_GB2312"/>
                <w:color w:val="000000"/>
                <w:szCs w:val="21"/>
                <w:lang w:eastAsia="zh-CN"/>
              </w:rPr>
              <w:t>长沙市二轻工业供销公司加油站</w:t>
            </w:r>
          </w:p>
        </w:tc>
        <w:tc>
          <w:tcPr>
            <w:tcW w:w="2540" w:type="dxa"/>
            <w:noWrap w:val="0"/>
            <w:vAlign w:val="center"/>
          </w:tcPr>
          <w:p>
            <w:pPr>
              <w:jc w:val="center"/>
              <w:rPr>
                <w:rFonts w:hint="eastAsia" w:ascii="仿宋_GB2312" w:hAnsi="仿宋_GB2312" w:eastAsia="仿宋_GB2312" w:cs="仿宋_GB2312"/>
                <w:color w:val="000000"/>
                <w:szCs w:val="21"/>
                <w:lang w:eastAsia="zh-CN"/>
              </w:rPr>
            </w:pPr>
            <w:r>
              <w:rPr>
                <w:rFonts w:hint="eastAsia" w:ascii="仿宋_GB2312" w:hAnsi="仿宋_GB2312" w:eastAsia="仿宋_GB2312" w:cs="仿宋_GB2312"/>
                <w:color w:val="000000"/>
                <w:szCs w:val="21"/>
                <w:lang w:val="en-US" w:eastAsia="zh-CN"/>
              </w:rPr>
              <w:t>易燃易爆场所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jc w:val="center"/>
        </w:trPr>
        <w:tc>
          <w:tcPr>
            <w:tcW w:w="904" w:type="dxa"/>
            <w:vMerge w:val="continue"/>
            <w:noWrap w:val="0"/>
            <w:vAlign w:val="center"/>
          </w:tcPr>
          <w:p>
            <w:pPr>
              <w:jc w:val="left"/>
            </w:pPr>
          </w:p>
        </w:tc>
        <w:tc>
          <w:tcPr>
            <w:tcW w:w="1088" w:type="dxa"/>
            <w:noWrap w:val="0"/>
            <w:vAlign w:val="center"/>
          </w:tcPr>
          <w:p>
            <w:pPr>
              <w:jc w:val="center"/>
              <w:rPr>
                <w:rFonts w:hint="default"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17</w:t>
            </w:r>
          </w:p>
        </w:tc>
        <w:tc>
          <w:tcPr>
            <w:tcW w:w="3990" w:type="dxa"/>
            <w:noWrap w:val="0"/>
            <w:vAlign w:val="top"/>
          </w:tcPr>
          <w:p>
            <w:pPr>
              <w:jc w:val="left"/>
              <w:rPr>
                <w:rFonts w:hint="eastAsia" w:ascii="仿宋_GB2312" w:hAnsi="仿宋_GB2312" w:eastAsia="仿宋_GB2312" w:cs="仿宋_GB2312"/>
                <w:color w:val="000000"/>
                <w:szCs w:val="21"/>
                <w:lang w:eastAsia="zh-CN"/>
              </w:rPr>
            </w:pPr>
            <w:r>
              <w:rPr>
                <w:rFonts w:hint="eastAsia" w:ascii="仿宋_GB2312" w:hAnsi="仿宋_GB2312" w:eastAsia="仿宋_GB2312" w:cs="仿宋_GB2312"/>
                <w:color w:val="000000"/>
                <w:szCs w:val="21"/>
                <w:lang w:eastAsia="zh-CN"/>
              </w:rPr>
              <w:t>湘江宾馆加油站</w:t>
            </w:r>
          </w:p>
        </w:tc>
        <w:tc>
          <w:tcPr>
            <w:tcW w:w="2540" w:type="dxa"/>
            <w:noWrap w:val="0"/>
            <w:vAlign w:val="center"/>
          </w:tcPr>
          <w:p>
            <w:pPr>
              <w:jc w:val="center"/>
              <w:rPr>
                <w:rFonts w:hint="eastAsia" w:ascii="仿宋_GB2312" w:hAnsi="仿宋_GB2312" w:eastAsia="仿宋_GB2312" w:cs="仿宋_GB2312"/>
                <w:color w:val="000000"/>
                <w:szCs w:val="21"/>
                <w:lang w:eastAsia="zh-CN"/>
              </w:rPr>
            </w:pPr>
            <w:r>
              <w:rPr>
                <w:rFonts w:hint="eastAsia" w:ascii="仿宋_GB2312" w:hAnsi="仿宋_GB2312" w:eastAsia="仿宋_GB2312" w:cs="仿宋_GB2312"/>
                <w:color w:val="000000"/>
                <w:szCs w:val="21"/>
                <w:lang w:val="en-US" w:eastAsia="zh-CN"/>
              </w:rPr>
              <w:t>易燃易爆场所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jc w:val="center"/>
        </w:trPr>
        <w:tc>
          <w:tcPr>
            <w:tcW w:w="904" w:type="dxa"/>
            <w:vMerge w:val="continue"/>
            <w:noWrap w:val="0"/>
            <w:vAlign w:val="center"/>
          </w:tcPr>
          <w:p>
            <w:pPr>
              <w:jc w:val="left"/>
              <w:rPr>
                <w:rFonts w:hint="eastAsia" w:ascii="仿宋_GB2312" w:hAnsi="仿宋_GB2312" w:eastAsia="仿宋_GB2312" w:cs="仿宋_GB2312"/>
                <w:color w:val="000000"/>
                <w:szCs w:val="21"/>
                <w:lang w:eastAsia="zh-CN"/>
              </w:rPr>
            </w:pPr>
          </w:p>
        </w:tc>
        <w:tc>
          <w:tcPr>
            <w:tcW w:w="1088" w:type="dxa"/>
            <w:noWrap w:val="0"/>
            <w:vAlign w:val="center"/>
          </w:tcPr>
          <w:p>
            <w:pPr>
              <w:jc w:val="center"/>
              <w:rPr>
                <w:rFonts w:hint="default"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18</w:t>
            </w:r>
          </w:p>
        </w:tc>
        <w:tc>
          <w:tcPr>
            <w:tcW w:w="3990" w:type="dxa"/>
            <w:noWrap w:val="0"/>
            <w:vAlign w:val="top"/>
          </w:tcPr>
          <w:p>
            <w:pPr>
              <w:jc w:val="left"/>
              <w:rPr>
                <w:rFonts w:hint="eastAsia" w:ascii="仿宋_GB2312" w:hAnsi="仿宋_GB2312" w:eastAsia="仿宋_GB2312" w:cs="仿宋_GB2312"/>
                <w:color w:val="000000"/>
                <w:szCs w:val="21"/>
                <w:lang w:eastAsia="zh-CN"/>
              </w:rPr>
            </w:pPr>
            <w:r>
              <w:rPr>
                <w:rFonts w:hint="eastAsia" w:ascii="仿宋_GB2312" w:hAnsi="仿宋_GB2312" w:eastAsia="仿宋_GB2312" w:cs="仿宋_GB2312"/>
                <w:color w:val="000000"/>
                <w:szCs w:val="21"/>
                <w:lang w:eastAsia="zh-CN"/>
              </w:rPr>
              <w:t>中国石油天然气股份有限公司湖南长沙环保科技园加油站</w:t>
            </w:r>
          </w:p>
        </w:tc>
        <w:tc>
          <w:tcPr>
            <w:tcW w:w="2540" w:type="dxa"/>
            <w:noWrap w:val="0"/>
            <w:vAlign w:val="center"/>
          </w:tcPr>
          <w:p>
            <w:pPr>
              <w:jc w:val="center"/>
              <w:rPr>
                <w:rFonts w:hint="eastAsia" w:ascii="仿宋_GB2312" w:hAnsi="仿宋_GB2312" w:eastAsia="仿宋_GB2312" w:cs="仿宋_GB2312"/>
                <w:color w:val="000000"/>
                <w:szCs w:val="21"/>
                <w:lang w:eastAsia="zh-CN"/>
              </w:rPr>
            </w:pPr>
            <w:r>
              <w:rPr>
                <w:rFonts w:hint="eastAsia" w:ascii="仿宋_GB2312" w:hAnsi="仿宋_GB2312" w:eastAsia="仿宋_GB2312" w:cs="仿宋_GB2312"/>
                <w:color w:val="000000"/>
                <w:szCs w:val="21"/>
                <w:lang w:val="en-US" w:eastAsia="zh-CN"/>
              </w:rPr>
              <w:t>易燃易爆场所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jc w:val="center"/>
        </w:trPr>
        <w:tc>
          <w:tcPr>
            <w:tcW w:w="904" w:type="dxa"/>
            <w:vMerge w:val="continue"/>
            <w:noWrap w:val="0"/>
            <w:vAlign w:val="center"/>
          </w:tcPr>
          <w:p>
            <w:pPr>
              <w:jc w:val="left"/>
              <w:rPr>
                <w:rFonts w:hint="eastAsia" w:ascii="仿宋_GB2312" w:hAnsi="仿宋_GB2312" w:eastAsia="仿宋_GB2312" w:cs="仿宋_GB2312"/>
                <w:color w:val="000000"/>
                <w:szCs w:val="21"/>
                <w:lang w:eastAsia="zh-CN"/>
              </w:rPr>
            </w:pPr>
          </w:p>
        </w:tc>
        <w:tc>
          <w:tcPr>
            <w:tcW w:w="1088" w:type="dxa"/>
            <w:noWrap w:val="0"/>
            <w:vAlign w:val="center"/>
          </w:tcPr>
          <w:p>
            <w:pPr>
              <w:jc w:val="center"/>
              <w:rPr>
                <w:rFonts w:hint="default"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19</w:t>
            </w:r>
          </w:p>
        </w:tc>
        <w:tc>
          <w:tcPr>
            <w:tcW w:w="3990" w:type="dxa"/>
            <w:noWrap w:val="0"/>
            <w:vAlign w:val="top"/>
          </w:tcPr>
          <w:p>
            <w:pPr>
              <w:jc w:val="left"/>
              <w:rPr>
                <w:rFonts w:hint="eastAsia" w:ascii="仿宋_GB2312" w:hAnsi="仿宋_GB2312" w:eastAsia="仿宋_GB2312" w:cs="仿宋_GB2312"/>
                <w:color w:val="000000"/>
                <w:szCs w:val="21"/>
                <w:lang w:eastAsia="zh-CN"/>
              </w:rPr>
            </w:pPr>
            <w:r>
              <w:rPr>
                <w:rFonts w:hint="eastAsia" w:ascii="仿宋_GB2312" w:hAnsi="仿宋_GB2312" w:eastAsia="仿宋_GB2312" w:cs="仿宋_GB2312"/>
                <w:color w:val="000000"/>
                <w:szCs w:val="21"/>
                <w:lang w:eastAsia="zh-CN"/>
              </w:rPr>
              <w:t>湖南和顺石油化工有限公司长沙展览加油站</w:t>
            </w:r>
          </w:p>
        </w:tc>
        <w:tc>
          <w:tcPr>
            <w:tcW w:w="2540" w:type="dxa"/>
            <w:noWrap w:val="0"/>
            <w:vAlign w:val="center"/>
          </w:tcPr>
          <w:p>
            <w:pPr>
              <w:jc w:val="center"/>
              <w:rPr>
                <w:rFonts w:hint="eastAsia" w:ascii="仿宋_GB2312" w:hAnsi="仿宋_GB2312" w:eastAsia="仿宋_GB2312" w:cs="仿宋_GB2312"/>
                <w:color w:val="000000"/>
                <w:szCs w:val="21"/>
                <w:lang w:eastAsia="zh-CN"/>
              </w:rPr>
            </w:pPr>
            <w:r>
              <w:rPr>
                <w:rFonts w:hint="eastAsia" w:ascii="仿宋_GB2312" w:hAnsi="仿宋_GB2312" w:eastAsia="仿宋_GB2312" w:cs="仿宋_GB2312"/>
                <w:color w:val="000000"/>
                <w:szCs w:val="21"/>
                <w:lang w:val="en-US" w:eastAsia="zh-CN"/>
              </w:rPr>
              <w:t>易燃易爆场所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jc w:val="center"/>
        </w:trPr>
        <w:tc>
          <w:tcPr>
            <w:tcW w:w="904" w:type="dxa"/>
            <w:vMerge w:val="continue"/>
            <w:noWrap w:val="0"/>
            <w:vAlign w:val="center"/>
          </w:tcPr>
          <w:p>
            <w:pPr>
              <w:jc w:val="left"/>
              <w:rPr>
                <w:rFonts w:hint="eastAsia" w:ascii="仿宋_GB2312" w:hAnsi="仿宋_GB2312" w:eastAsia="仿宋_GB2312" w:cs="仿宋_GB2312"/>
                <w:color w:val="000000"/>
                <w:szCs w:val="21"/>
                <w:lang w:eastAsia="zh-CN"/>
              </w:rPr>
            </w:pPr>
          </w:p>
        </w:tc>
        <w:tc>
          <w:tcPr>
            <w:tcW w:w="1088" w:type="dxa"/>
            <w:noWrap w:val="0"/>
            <w:vAlign w:val="center"/>
          </w:tcPr>
          <w:p>
            <w:pPr>
              <w:jc w:val="center"/>
              <w:rPr>
                <w:rFonts w:hint="default"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20</w:t>
            </w:r>
          </w:p>
        </w:tc>
        <w:tc>
          <w:tcPr>
            <w:tcW w:w="3990" w:type="dxa"/>
            <w:noWrap w:val="0"/>
            <w:vAlign w:val="top"/>
          </w:tcPr>
          <w:p>
            <w:pPr>
              <w:jc w:val="left"/>
              <w:rPr>
                <w:rFonts w:hint="eastAsia" w:ascii="仿宋_GB2312" w:hAnsi="仿宋_GB2312" w:eastAsia="仿宋_GB2312" w:cs="仿宋_GB2312"/>
                <w:color w:val="000000"/>
                <w:szCs w:val="21"/>
                <w:lang w:eastAsia="zh-CN"/>
              </w:rPr>
            </w:pPr>
            <w:r>
              <w:rPr>
                <w:rFonts w:hint="eastAsia" w:ascii="仿宋_GB2312" w:hAnsi="仿宋_GB2312" w:eastAsia="仿宋_GB2312" w:cs="仿宋_GB2312"/>
                <w:color w:val="000000"/>
                <w:szCs w:val="21"/>
                <w:lang w:eastAsia="zh-CN"/>
              </w:rPr>
              <w:t>中石化长沙容欣贸易有限公司潘家坪加油站</w:t>
            </w:r>
          </w:p>
        </w:tc>
        <w:tc>
          <w:tcPr>
            <w:tcW w:w="2540" w:type="dxa"/>
            <w:noWrap w:val="0"/>
            <w:vAlign w:val="center"/>
          </w:tcPr>
          <w:p>
            <w:pPr>
              <w:jc w:val="center"/>
              <w:rPr>
                <w:rFonts w:hint="eastAsia" w:ascii="仿宋_GB2312" w:hAnsi="仿宋_GB2312" w:eastAsia="仿宋_GB2312" w:cs="仿宋_GB2312"/>
                <w:color w:val="000000"/>
                <w:szCs w:val="21"/>
                <w:lang w:eastAsia="zh-CN"/>
              </w:rPr>
            </w:pPr>
            <w:r>
              <w:rPr>
                <w:rFonts w:hint="eastAsia" w:ascii="仿宋_GB2312" w:hAnsi="仿宋_GB2312" w:eastAsia="仿宋_GB2312" w:cs="仿宋_GB2312"/>
                <w:color w:val="000000"/>
                <w:szCs w:val="21"/>
                <w:lang w:val="en-US" w:eastAsia="zh-CN"/>
              </w:rPr>
              <w:t>易燃易爆场所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jc w:val="center"/>
        </w:trPr>
        <w:tc>
          <w:tcPr>
            <w:tcW w:w="904" w:type="dxa"/>
            <w:vMerge w:val="restart"/>
            <w:noWrap w:val="0"/>
            <w:vAlign w:val="center"/>
          </w:tcPr>
          <w:p>
            <w:pPr>
              <w:jc w:val="center"/>
              <w:rPr>
                <w:rFonts w:hint="eastAsia" w:ascii="方正小标宋简体" w:hAnsi="方正小标宋简体" w:eastAsia="方正小标宋简体" w:cs="方正小标宋简体"/>
                <w:color w:val="000000"/>
                <w:sz w:val="36"/>
                <w:szCs w:val="36"/>
                <w:vertAlign w:val="baseline"/>
              </w:rPr>
            </w:pPr>
            <w:r>
              <w:rPr>
                <w:rFonts w:hint="eastAsia" w:ascii="仿宋_GB2312" w:hAnsi="仿宋_GB2312" w:eastAsia="仿宋_GB2312" w:cs="仿宋_GB2312"/>
                <w:color w:val="000000"/>
                <w:szCs w:val="21"/>
              </w:rPr>
              <w:t>五月</w:t>
            </w:r>
          </w:p>
        </w:tc>
        <w:tc>
          <w:tcPr>
            <w:tcW w:w="1088" w:type="dxa"/>
            <w:noWrap w:val="0"/>
            <w:vAlign w:val="center"/>
          </w:tcPr>
          <w:p>
            <w:pPr>
              <w:jc w:val="center"/>
              <w:rPr>
                <w:rFonts w:hint="default"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21</w:t>
            </w:r>
          </w:p>
        </w:tc>
        <w:tc>
          <w:tcPr>
            <w:tcW w:w="3990" w:type="dxa"/>
            <w:noWrap w:val="0"/>
            <w:vAlign w:val="top"/>
          </w:tcPr>
          <w:p>
            <w:pPr>
              <w:jc w:val="left"/>
              <w:rPr>
                <w:rFonts w:hint="eastAsia" w:ascii="仿宋_GB2312" w:hAnsi="仿宋_GB2312" w:eastAsia="仿宋_GB2312" w:cs="仿宋_GB2312"/>
                <w:color w:val="000000"/>
                <w:szCs w:val="21"/>
                <w:lang w:eastAsia="zh-CN"/>
              </w:rPr>
            </w:pPr>
            <w:r>
              <w:rPr>
                <w:rFonts w:hint="eastAsia" w:ascii="仿宋_GB2312" w:hAnsi="仿宋_GB2312" w:eastAsia="仿宋_GB2312" w:cs="仿宋_GB2312"/>
                <w:color w:val="000000"/>
                <w:szCs w:val="21"/>
                <w:lang w:eastAsia="zh-CN"/>
              </w:rPr>
              <w:t>雅礼教育集团</w:t>
            </w:r>
          </w:p>
        </w:tc>
        <w:tc>
          <w:tcPr>
            <w:tcW w:w="2540" w:type="dxa"/>
            <w:noWrap w:val="0"/>
            <w:vAlign w:val="center"/>
          </w:tcPr>
          <w:p>
            <w:pPr>
              <w:jc w:val="center"/>
              <w:rPr>
                <w:rFonts w:hint="eastAsia" w:ascii="仿宋_GB2312" w:hAnsi="仿宋_GB2312" w:eastAsia="仿宋_GB2312" w:cs="仿宋_GB2312"/>
                <w:color w:val="000000"/>
                <w:szCs w:val="21"/>
                <w:lang w:eastAsia="zh-CN"/>
              </w:rPr>
            </w:pPr>
            <w:r>
              <w:rPr>
                <w:rFonts w:hint="eastAsia" w:ascii="仿宋_GB2312" w:hAnsi="仿宋_GB2312" w:eastAsia="仿宋_GB2312" w:cs="仿宋_GB2312"/>
                <w:color w:val="000000"/>
                <w:szCs w:val="21"/>
                <w:lang w:val="en-US" w:eastAsia="zh-CN"/>
              </w:rPr>
              <w:t>人员密集场所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jc w:val="center"/>
        </w:trPr>
        <w:tc>
          <w:tcPr>
            <w:tcW w:w="904" w:type="dxa"/>
            <w:vMerge w:val="continue"/>
            <w:noWrap w:val="0"/>
            <w:vAlign w:val="center"/>
          </w:tcPr>
          <w:p>
            <w:pPr>
              <w:jc w:val="left"/>
            </w:pPr>
          </w:p>
        </w:tc>
        <w:tc>
          <w:tcPr>
            <w:tcW w:w="1088" w:type="dxa"/>
            <w:noWrap w:val="0"/>
            <w:vAlign w:val="center"/>
          </w:tcPr>
          <w:p>
            <w:pPr>
              <w:jc w:val="center"/>
              <w:rPr>
                <w:rFonts w:hint="default"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22</w:t>
            </w:r>
          </w:p>
        </w:tc>
        <w:tc>
          <w:tcPr>
            <w:tcW w:w="3990" w:type="dxa"/>
            <w:noWrap w:val="0"/>
            <w:vAlign w:val="top"/>
          </w:tcPr>
          <w:p>
            <w:pPr>
              <w:jc w:val="left"/>
              <w:rPr>
                <w:rFonts w:hint="eastAsia" w:ascii="仿宋_GB2312" w:hAnsi="仿宋_GB2312" w:eastAsia="仿宋_GB2312" w:cs="仿宋_GB2312"/>
                <w:color w:val="000000"/>
                <w:szCs w:val="21"/>
                <w:lang w:eastAsia="zh-CN"/>
              </w:rPr>
            </w:pPr>
            <w:r>
              <w:rPr>
                <w:rFonts w:hint="eastAsia" w:ascii="仿宋_GB2312" w:hAnsi="仿宋_GB2312" w:eastAsia="仿宋_GB2312" w:cs="仿宋_GB2312"/>
                <w:color w:val="000000"/>
                <w:szCs w:val="21"/>
                <w:lang w:eastAsia="zh-CN"/>
              </w:rPr>
              <w:t>长郡教育集团</w:t>
            </w:r>
          </w:p>
        </w:tc>
        <w:tc>
          <w:tcPr>
            <w:tcW w:w="2540" w:type="dxa"/>
            <w:noWrap w:val="0"/>
            <w:vAlign w:val="center"/>
          </w:tcPr>
          <w:p>
            <w:pPr>
              <w:jc w:val="center"/>
              <w:rPr>
                <w:rFonts w:hint="eastAsia" w:ascii="仿宋_GB2312" w:hAnsi="仿宋_GB2312" w:eastAsia="仿宋_GB2312" w:cs="仿宋_GB2312"/>
                <w:color w:val="000000"/>
                <w:szCs w:val="21"/>
                <w:lang w:eastAsia="zh-CN"/>
              </w:rPr>
            </w:pPr>
            <w:r>
              <w:rPr>
                <w:rFonts w:hint="eastAsia" w:ascii="仿宋_GB2312" w:hAnsi="仿宋_GB2312" w:eastAsia="仿宋_GB2312" w:cs="仿宋_GB2312"/>
                <w:color w:val="000000"/>
                <w:szCs w:val="21"/>
                <w:lang w:val="en-US" w:eastAsia="zh-CN"/>
              </w:rPr>
              <w:t>人员密集场所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jc w:val="center"/>
        </w:trPr>
        <w:tc>
          <w:tcPr>
            <w:tcW w:w="904" w:type="dxa"/>
            <w:vMerge w:val="continue"/>
            <w:noWrap w:val="0"/>
            <w:vAlign w:val="center"/>
          </w:tcPr>
          <w:p>
            <w:pPr>
              <w:jc w:val="left"/>
              <w:rPr>
                <w:rFonts w:hint="eastAsia" w:ascii="仿宋_GB2312" w:hAnsi="仿宋_GB2312" w:eastAsia="仿宋_GB2312" w:cs="仿宋_GB2312"/>
                <w:color w:val="000000"/>
                <w:szCs w:val="21"/>
                <w:lang w:eastAsia="zh-CN"/>
              </w:rPr>
            </w:pPr>
          </w:p>
        </w:tc>
        <w:tc>
          <w:tcPr>
            <w:tcW w:w="1088" w:type="dxa"/>
            <w:noWrap w:val="0"/>
            <w:vAlign w:val="center"/>
          </w:tcPr>
          <w:p>
            <w:pPr>
              <w:jc w:val="center"/>
              <w:rPr>
                <w:rFonts w:hint="default"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23</w:t>
            </w:r>
          </w:p>
        </w:tc>
        <w:tc>
          <w:tcPr>
            <w:tcW w:w="3990" w:type="dxa"/>
            <w:noWrap w:val="0"/>
            <w:vAlign w:val="top"/>
          </w:tcPr>
          <w:p>
            <w:pPr>
              <w:jc w:val="left"/>
              <w:rPr>
                <w:rFonts w:hint="eastAsia" w:ascii="仿宋_GB2312" w:hAnsi="仿宋_GB2312" w:eastAsia="仿宋_GB2312" w:cs="仿宋_GB2312"/>
                <w:color w:val="000000"/>
                <w:szCs w:val="21"/>
                <w:lang w:eastAsia="zh-CN"/>
              </w:rPr>
            </w:pPr>
            <w:r>
              <w:rPr>
                <w:rFonts w:hint="eastAsia" w:ascii="仿宋_GB2312" w:hAnsi="仿宋_GB2312" w:eastAsia="仿宋_GB2312" w:cs="仿宋_GB2312"/>
                <w:color w:val="000000"/>
                <w:szCs w:val="21"/>
                <w:lang w:eastAsia="zh-CN"/>
              </w:rPr>
              <w:t>师大附中教育集团</w:t>
            </w:r>
          </w:p>
        </w:tc>
        <w:tc>
          <w:tcPr>
            <w:tcW w:w="2540" w:type="dxa"/>
            <w:noWrap w:val="0"/>
            <w:vAlign w:val="center"/>
          </w:tcPr>
          <w:p>
            <w:pPr>
              <w:jc w:val="center"/>
              <w:rPr>
                <w:rFonts w:hint="eastAsia" w:ascii="仿宋_GB2312" w:hAnsi="仿宋_GB2312" w:eastAsia="仿宋_GB2312" w:cs="仿宋_GB2312"/>
                <w:color w:val="000000"/>
                <w:szCs w:val="21"/>
                <w:lang w:eastAsia="zh-CN"/>
              </w:rPr>
            </w:pPr>
            <w:r>
              <w:rPr>
                <w:rFonts w:hint="eastAsia" w:ascii="仿宋_GB2312" w:hAnsi="仿宋_GB2312" w:eastAsia="仿宋_GB2312" w:cs="仿宋_GB2312"/>
                <w:color w:val="000000"/>
                <w:szCs w:val="21"/>
                <w:lang w:val="en-US" w:eastAsia="zh-CN"/>
              </w:rPr>
              <w:t>人员密集场所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jc w:val="center"/>
        </w:trPr>
        <w:tc>
          <w:tcPr>
            <w:tcW w:w="904" w:type="dxa"/>
            <w:vMerge w:val="continue"/>
            <w:noWrap w:val="0"/>
            <w:vAlign w:val="center"/>
          </w:tcPr>
          <w:p>
            <w:pPr>
              <w:jc w:val="left"/>
              <w:rPr>
                <w:rFonts w:hint="eastAsia" w:ascii="仿宋_GB2312" w:hAnsi="仿宋_GB2312" w:eastAsia="仿宋_GB2312" w:cs="仿宋_GB2312"/>
                <w:color w:val="000000"/>
                <w:szCs w:val="21"/>
                <w:lang w:eastAsia="zh-CN"/>
              </w:rPr>
            </w:pPr>
          </w:p>
        </w:tc>
        <w:tc>
          <w:tcPr>
            <w:tcW w:w="1088" w:type="dxa"/>
            <w:noWrap w:val="0"/>
            <w:vAlign w:val="center"/>
          </w:tcPr>
          <w:p>
            <w:pPr>
              <w:jc w:val="center"/>
              <w:rPr>
                <w:rFonts w:hint="default"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24</w:t>
            </w:r>
          </w:p>
        </w:tc>
        <w:tc>
          <w:tcPr>
            <w:tcW w:w="3990" w:type="dxa"/>
            <w:noWrap w:val="0"/>
            <w:vAlign w:val="top"/>
          </w:tcPr>
          <w:p>
            <w:pPr>
              <w:jc w:val="left"/>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省儿童医院</w:t>
            </w:r>
          </w:p>
        </w:tc>
        <w:tc>
          <w:tcPr>
            <w:tcW w:w="2540" w:type="dxa"/>
            <w:noWrap w:val="0"/>
            <w:vAlign w:val="center"/>
          </w:tcPr>
          <w:p>
            <w:pPr>
              <w:jc w:val="center"/>
              <w:rPr>
                <w:rFonts w:hint="eastAsia" w:ascii="仿宋_GB2312" w:hAnsi="仿宋_GB2312" w:eastAsia="仿宋_GB2312" w:cs="仿宋_GB2312"/>
                <w:color w:val="000000"/>
                <w:szCs w:val="21"/>
                <w:lang w:eastAsia="zh-CN"/>
              </w:rPr>
            </w:pPr>
            <w:r>
              <w:rPr>
                <w:rFonts w:hint="eastAsia" w:ascii="仿宋_GB2312" w:hAnsi="仿宋_GB2312" w:eastAsia="仿宋_GB2312" w:cs="仿宋_GB2312"/>
                <w:color w:val="000000"/>
                <w:szCs w:val="21"/>
                <w:lang w:val="en-US" w:eastAsia="zh-CN"/>
              </w:rPr>
              <w:t>人员密集场所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jc w:val="center"/>
        </w:trPr>
        <w:tc>
          <w:tcPr>
            <w:tcW w:w="904" w:type="dxa"/>
            <w:vMerge w:val="continue"/>
            <w:noWrap w:val="0"/>
            <w:vAlign w:val="center"/>
          </w:tcPr>
          <w:p>
            <w:pPr>
              <w:jc w:val="left"/>
              <w:rPr>
                <w:rFonts w:hint="eastAsia" w:ascii="仿宋_GB2312" w:hAnsi="仿宋_GB2312" w:eastAsia="仿宋_GB2312" w:cs="仿宋_GB2312"/>
                <w:color w:val="000000"/>
                <w:szCs w:val="21"/>
                <w:lang w:eastAsia="zh-CN"/>
              </w:rPr>
            </w:pPr>
          </w:p>
        </w:tc>
        <w:tc>
          <w:tcPr>
            <w:tcW w:w="1088" w:type="dxa"/>
            <w:noWrap w:val="0"/>
            <w:vAlign w:val="center"/>
          </w:tcPr>
          <w:p>
            <w:pPr>
              <w:jc w:val="center"/>
              <w:rPr>
                <w:rFonts w:hint="default"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25</w:t>
            </w:r>
          </w:p>
        </w:tc>
        <w:tc>
          <w:tcPr>
            <w:tcW w:w="3990" w:type="dxa"/>
            <w:noWrap w:val="0"/>
            <w:vAlign w:val="top"/>
          </w:tcPr>
          <w:p>
            <w:pPr>
              <w:jc w:val="left"/>
              <w:rPr>
                <w:rFonts w:hint="eastAsia" w:ascii="仿宋_GB2312" w:hAnsi="仿宋_GB2312" w:eastAsia="仿宋_GB2312" w:cs="仿宋_GB2312"/>
                <w:color w:val="000000"/>
                <w:szCs w:val="21"/>
                <w:lang w:eastAsia="zh-CN"/>
              </w:rPr>
            </w:pPr>
            <w:r>
              <w:rPr>
                <w:rFonts w:hint="eastAsia" w:ascii="仿宋_GB2312" w:hAnsi="仿宋_GB2312" w:eastAsia="仿宋_GB2312" w:cs="仿宋_GB2312"/>
                <w:color w:val="000000"/>
                <w:szCs w:val="21"/>
                <w:lang w:eastAsia="zh-CN"/>
              </w:rPr>
              <w:t>长沙市四医院</w:t>
            </w:r>
            <w:bookmarkStart w:id="0" w:name="_GoBack"/>
            <w:bookmarkEnd w:id="0"/>
          </w:p>
        </w:tc>
        <w:tc>
          <w:tcPr>
            <w:tcW w:w="2540" w:type="dxa"/>
            <w:noWrap w:val="0"/>
            <w:vAlign w:val="center"/>
          </w:tcPr>
          <w:p>
            <w:pPr>
              <w:jc w:val="center"/>
              <w:rPr>
                <w:rFonts w:hint="eastAsia" w:ascii="仿宋_GB2312" w:hAnsi="仿宋_GB2312" w:eastAsia="仿宋_GB2312" w:cs="仿宋_GB2312"/>
                <w:color w:val="000000"/>
                <w:szCs w:val="21"/>
                <w:lang w:eastAsia="zh-CN"/>
              </w:rPr>
            </w:pPr>
            <w:r>
              <w:rPr>
                <w:rFonts w:hint="eastAsia" w:ascii="仿宋_GB2312" w:hAnsi="仿宋_GB2312" w:eastAsia="仿宋_GB2312" w:cs="仿宋_GB2312"/>
                <w:color w:val="000000"/>
                <w:szCs w:val="21"/>
                <w:lang w:val="en-US" w:eastAsia="zh-CN"/>
              </w:rPr>
              <w:t>人员密集场所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jc w:val="center"/>
        </w:trPr>
        <w:tc>
          <w:tcPr>
            <w:tcW w:w="904" w:type="dxa"/>
            <w:vMerge w:val="restart"/>
            <w:noWrap w:val="0"/>
            <w:vAlign w:val="center"/>
          </w:tcPr>
          <w:p>
            <w:pPr>
              <w:jc w:val="center"/>
              <w:rPr>
                <w:rFonts w:hint="eastAsia" w:ascii="方正小标宋简体" w:hAnsi="方正小标宋简体" w:eastAsia="方正小标宋简体" w:cs="方正小标宋简体"/>
                <w:color w:val="000000"/>
                <w:sz w:val="36"/>
                <w:szCs w:val="36"/>
                <w:vertAlign w:val="baseline"/>
              </w:rPr>
            </w:pPr>
            <w:r>
              <w:rPr>
                <w:rFonts w:hint="eastAsia" w:ascii="仿宋_GB2312" w:hAnsi="仿宋_GB2312" w:eastAsia="仿宋_GB2312" w:cs="仿宋_GB2312"/>
                <w:color w:val="000000"/>
                <w:szCs w:val="21"/>
              </w:rPr>
              <w:t>六月</w:t>
            </w:r>
          </w:p>
        </w:tc>
        <w:tc>
          <w:tcPr>
            <w:tcW w:w="1088" w:type="dxa"/>
            <w:noWrap w:val="0"/>
            <w:vAlign w:val="center"/>
          </w:tcPr>
          <w:p>
            <w:pPr>
              <w:jc w:val="center"/>
              <w:rPr>
                <w:rFonts w:hint="default"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26</w:t>
            </w:r>
          </w:p>
        </w:tc>
        <w:tc>
          <w:tcPr>
            <w:tcW w:w="3990" w:type="dxa"/>
            <w:noWrap w:val="0"/>
            <w:vAlign w:val="top"/>
          </w:tcPr>
          <w:p>
            <w:pPr>
              <w:jc w:val="left"/>
              <w:rPr>
                <w:rFonts w:hint="eastAsia" w:ascii="仿宋_GB2312" w:hAnsi="仿宋_GB2312" w:eastAsia="仿宋_GB2312" w:cs="仿宋_GB2312"/>
                <w:color w:val="000000"/>
                <w:szCs w:val="21"/>
                <w:lang w:eastAsia="zh-CN"/>
              </w:rPr>
            </w:pPr>
            <w:r>
              <w:rPr>
                <w:rFonts w:hint="eastAsia" w:ascii="仿宋_GB2312" w:hAnsi="仿宋_GB2312" w:eastAsia="仿宋_GB2312" w:cs="仿宋_GB2312"/>
                <w:color w:val="000000"/>
                <w:szCs w:val="21"/>
                <w:lang w:eastAsia="zh-CN"/>
              </w:rPr>
              <w:t>莲花加油站</w:t>
            </w:r>
          </w:p>
        </w:tc>
        <w:tc>
          <w:tcPr>
            <w:tcW w:w="2540" w:type="dxa"/>
            <w:noWrap w:val="0"/>
            <w:vAlign w:val="center"/>
          </w:tcPr>
          <w:p>
            <w:pPr>
              <w:jc w:val="center"/>
              <w:rPr>
                <w:rFonts w:hint="eastAsia" w:ascii="仿宋_GB2312" w:hAnsi="仿宋_GB2312" w:eastAsia="仿宋_GB2312" w:cs="仿宋_GB2312"/>
                <w:color w:val="000000"/>
                <w:szCs w:val="21"/>
                <w:lang w:eastAsia="zh-CN"/>
              </w:rPr>
            </w:pPr>
            <w:r>
              <w:rPr>
                <w:rFonts w:hint="eastAsia" w:ascii="仿宋_GB2312" w:hAnsi="仿宋_GB2312" w:eastAsia="仿宋_GB2312" w:cs="仿宋_GB2312"/>
                <w:color w:val="000000"/>
                <w:szCs w:val="21"/>
                <w:lang w:val="en-US" w:eastAsia="zh-CN"/>
              </w:rPr>
              <w:t>易燃易爆场所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jc w:val="center"/>
        </w:trPr>
        <w:tc>
          <w:tcPr>
            <w:tcW w:w="904" w:type="dxa"/>
            <w:vMerge w:val="continue"/>
            <w:noWrap w:val="0"/>
            <w:vAlign w:val="center"/>
          </w:tcPr>
          <w:p>
            <w:pPr>
              <w:jc w:val="left"/>
            </w:pPr>
          </w:p>
        </w:tc>
        <w:tc>
          <w:tcPr>
            <w:tcW w:w="1088" w:type="dxa"/>
            <w:noWrap w:val="0"/>
            <w:vAlign w:val="center"/>
          </w:tcPr>
          <w:p>
            <w:pPr>
              <w:jc w:val="center"/>
              <w:rPr>
                <w:rFonts w:hint="default"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27</w:t>
            </w:r>
          </w:p>
        </w:tc>
        <w:tc>
          <w:tcPr>
            <w:tcW w:w="3990" w:type="dxa"/>
            <w:noWrap w:val="0"/>
            <w:vAlign w:val="top"/>
          </w:tcPr>
          <w:p>
            <w:pPr>
              <w:jc w:val="left"/>
              <w:rPr>
                <w:rFonts w:hint="eastAsia" w:ascii="仿宋_GB2312" w:hAnsi="仿宋_GB2312" w:eastAsia="仿宋_GB2312" w:cs="仿宋_GB2312"/>
                <w:color w:val="000000"/>
                <w:szCs w:val="21"/>
                <w:lang w:eastAsia="zh-CN"/>
              </w:rPr>
            </w:pPr>
            <w:r>
              <w:rPr>
                <w:rFonts w:hint="eastAsia" w:ascii="仿宋_GB2312" w:hAnsi="仿宋_GB2312" w:eastAsia="仿宋_GB2312" w:cs="仿宋_GB2312"/>
                <w:color w:val="000000"/>
                <w:szCs w:val="21"/>
                <w:lang w:eastAsia="zh-CN"/>
              </w:rPr>
              <w:t>和顺长坪加油站</w:t>
            </w:r>
          </w:p>
        </w:tc>
        <w:tc>
          <w:tcPr>
            <w:tcW w:w="2540" w:type="dxa"/>
            <w:noWrap w:val="0"/>
            <w:vAlign w:val="center"/>
          </w:tcPr>
          <w:p>
            <w:pPr>
              <w:jc w:val="center"/>
              <w:rPr>
                <w:rFonts w:hint="eastAsia" w:ascii="仿宋_GB2312" w:hAnsi="仿宋_GB2312" w:eastAsia="仿宋_GB2312" w:cs="仿宋_GB2312"/>
                <w:color w:val="000000"/>
                <w:szCs w:val="21"/>
                <w:lang w:eastAsia="zh-CN"/>
              </w:rPr>
            </w:pPr>
            <w:r>
              <w:rPr>
                <w:rFonts w:hint="eastAsia" w:ascii="仿宋_GB2312" w:hAnsi="仿宋_GB2312" w:eastAsia="仿宋_GB2312" w:cs="仿宋_GB2312"/>
                <w:color w:val="000000"/>
                <w:szCs w:val="21"/>
                <w:lang w:val="en-US" w:eastAsia="zh-CN"/>
              </w:rPr>
              <w:t>易燃易爆场所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jc w:val="center"/>
        </w:trPr>
        <w:tc>
          <w:tcPr>
            <w:tcW w:w="904" w:type="dxa"/>
            <w:vMerge w:val="continue"/>
            <w:noWrap w:val="0"/>
            <w:vAlign w:val="center"/>
          </w:tcPr>
          <w:p>
            <w:pPr>
              <w:jc w:val="left"/>
              <w:rPr>
                <w:rFonts w:hint="eastAsia" w:ascii="仿宋_GB2312" w:hAnsi="仿宋_GB2312" w:eastAsia="仿宋_GB2312" w:cs="仿宋_GB2312"/>
                <w:color w:val="000000"/>
                <w:szCs w:val="21"/>
                <w:lang w:eastAsia="zh-CN"/>
              </w:rPr>
            </w:pPr>
          </w:p>
        </w:tc>
        <w:tc>
          <w:tcPr>
            <w:tcW w:w="1088" w:type="dxa"/>
            <w:noWrap w:val="0"/>
            <w:vAlign w:val="center"/>
          </w:tcPr>
          <w:p>
            <w:pPr>
              <w:jc w:val="center"/>
              <w:rPr>
                <w:rFonts w:hint="default"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28</w:t>
            </w:r>
          </w:p>
        </w:tc>
        <w:tc>
          <w:tcPr>
            <w:tcW w:w="3990" w:type="dxa"/>
            <w:noWrap w:val="0"/>
            <w:vAlign w:val="top"/>
          </w:tcPr>
          <w:p>
            <w:pPr>
              <w:jc w:val="left"/>
              <w:rPr>
                <w:rFonts w:hint="eastAsia" w:ascii="仿宋_GB2312" w:hAnsi="仿宋_GB2312" w:eastAsia="仿宋_GB2312" w:cs="仿宋_GB2312"/>
                <w:color w:val="000000"/>
                <w:szCs w:val="21"/>
                <w:lang w:eastAsia="zh-CN"/>
              </w:rPr>
            </w:pPr>
            <w:r>
              <w:rPr>
                <w:rFonts w:hint="eastAsia" w:ascii="仿宋_GB2312" w:hAnsi="仿宋_GB2312" w:eastAsia="仿宋_GB2312" w:cs="仿宋_GB2312"/>
                <w:color w:val="000000"/>
                <w:szCs w:val="21"/>
                <w:lang w:eastAsia="zh-CN"/>
              </w:rPr>
              <w:t>中石化平塘加油站</w:t>
            </w:r>
          </w:p>
        </w:tc>
        <w:tc>
          <w:tcPr>
            <w:tcW w:w="2540" w:type="dxa"/>
            <w:noWrap w:val="0"/>
            <w:vAlign w:val="center"/>
          </w:tcPr>
          <w:p>
            <w:pPr>
              <w:jc w:val="center"/>
              <w:rPr>
                <w:rFonts w:hint="eastAsia" w:ascii="仿宋_GB2312" w:hAnsi="仿宋_GB2312" w:eastAsia="仿宋_GB2312" w:cs="仿宋_GB2312"/>
                <w:color w:val="000000"/>
                <w:szCs w:val="21"/>
                <w:lang w:eastAsia="zh-CN"/>
              </w:rPr>
            </w:pPr>
            <w:r>
              <w:rPr>
                <w:rFonts w:hint="eastAsia" w:ascii="仿宋_GB2312" w:hAnsi="仿宋_GB2312" w:eastAsia="仿宋_GB2312" w:cs="仿宋_GB2312"/>
                <w:color w:val="000000"/>
                <w:szCs w:val="21"/>
                <w:lang w:val="en-US" w:eastAsia="zh-CN"/>
              </w:rPr>
              <w:t>易燃易爆场所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jc w:val="center"/>
        </w:trPr>
        <w:tc>
          <w:tcPr>
            <w:tcW w:w="904" w:type="dxa"/>
            <w:vMerge w:val="continue"/>
            <w:noWrap w:val="0"/>
            <w:vAlign w:val="center"/>
          </w:tcPr>
          <w:p>
            <w:pPr>
              <w:jc w:val="left"/>
              <w:rPr>
                <w:rFonts w:hint="eastAsia" w:ascii="仿宋_GB2312" w:hAnsi="仿宋_GB2312" w:eastAsia="仿宋_GB2312" w:cs="仿宋_GB2312"/>
                <w:color w:val="000000"/>
                <w:szCs w:val="21"/>
                <w:lang w:eastAsia="zh-CN"/>
              </w:rPr>
            </w:pPr>
          </w:p>
        </w:tc>
        <w:tc>
          <w:tcPr>
            <w:tcW w:w="1088" w:type="dxa"/>
            <w:noWrap w:val="0"/>
            <w:vAlign w:val="center"/>
          </w:tcPr>
          <w:p>
            <w:pPr>
              <w:jc w:val="center"/>
              <w:rPr>
                <w:rFonts w:hint="default"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29</w:t>
            </w:r>
          </w:p>
        </w:tc>
        <w:tc>
          <w:tcPr>
            <w:tcW w:w="3990" w:type="dxa"/>
            <w:noWrap w:val="0"/>
            <w:vAlign w:val="top"/>
          </w:tcPr>
          <w:p>
            <w:pPr>
              <w:jc w:val="left"/>
              <w:rPr>
                <w:rFonts w:hint="eastAsia" w:ascii="仿宋_GB2312" w:hAnsi="仿宋_GB2312" w:eastAsia="仿宋_GB2312" w:cs="仿宋_GB2312"/>
                <w:color w:val="000000"/>
                <w:szCs w:val="21"/>
                <w:lang w:eastAsia="zh-CN"/>
              </w:rPr>
            </w:pPr>
            <w:r>
              <w:rPr>
                <w:rFonts w:hint="eastAsia" w:ascii="仿宋_GB2312" w:hAnsi="仿宋_GB2312" w:eastAsia="仿宋_GB2312" w:cs="仿宋_GB2312"/>
                <w:color w:val="000000"/>
                <w:szCs w:val="21"/>
                <w:lang w:eastAsia="zh-CN"/>
              </w:rPr>
              <w:t>湖南百耀能源有限公司时代阳光大道加油站</w:t>
            </w:r>
          </w:p>
        </w:tc>
        <w:tc>
          <w:tcPr>
            <w:tcW w:w="2540" w:type="dxa"/>
            <w:noWrap w:val="0"/>
            <w:vAlign w:val="center"/>
          </w:tcPr>
          <w:p>
            <w:pPr>
              <w:jc w:val="center"/>
              <w:rPr>
                <w:rFonts w:hint="eastAsia" w:ascii="仿宋_GB2312" w:hAnsi="仿宋_GB2312" w:eastAsia="仿宋_GB2312" w:cs="仿宋_GB2312"/>
                <w:color w:val="000000"/>
                <w:szCs w:val="21"/>
                <w:lang w:eastAsia="zh-CN"/>
              </w:rPr>
            </w:pPr>
            <w:r>
              <w:rPr>
                <w:rFonts w:hint="eastAsia" w:ascii="仿宋_GB2312" w:hAnsi="仿宋_GB2312" w:eastAsia="仿宋_GB2312" w:cs="仿宋_GB2312"/>
                <w:color w:val="000000"/>
                <w:szCs w:val="21"/>
                <w:lang w:val="en-US" w:eastAsia="zh-CN"/>
              </w:rPr>
              <w:t>易燃易爆场所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jc w:val="center"/>
        </w:trPr>
        <w:tc>
          <w:tcPr>
            <w:tcW w:w="904" w:type="dxa"/>
            <w:vMerge w:val="continue"/>
            <w:noWrap w:val="0"/>
            <w:vAlign w:val="center"/>
          </w:tcPr>
          <w:p>
            <w:pPr>
              <w:jc w:val="left"/>
              <w:rPr>
                <w:rFonts w:hint="eastAsia" w:ascii="仿宋_GB2312" w:hAnsi="仿宋_GB2312" w:eastAsia="仿宋_GB2312" w:cs="仿宋_GB2312"/>
                <w:color w:val="000000"/>
                <w:szCs w:val="21"/>
                <w:lang w:eastAsia="zh-CN"/>
              </w:rPr>
            </w:pPr>
          </w:p>
        </w:tc>
        <w:tc>
          <w:tcPr>
            <w:tcW w:w="1088" w:type="dxa"/>
            <w:noWrap w:val="0"/>
            <w:vAlign w:val="center"/>
          </w:tcPr>
          <w:p>
            <w:pPr>
              <w:jc w:val="center"/>
              <w:rPr>
                <w:rFonts w:hint="default"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30</w:t>
            </w:r>
          </w:p>
        </w:tc>
        <w:tc>
          <w:tcPr>
            <w:tcW w:w="3990" w:type="dxa"/>
            <w:noWrap w:val="0"/>
            <w:vAlign w:val="top"/>
          </w:tcPr>
          <w:p>
            <w:pPr>
              <w:jc w:val="left"/>
              <w:rPr>
                <w:rFonts w:hint="eastAsia" w:ascii="仿宋_GB2312" w:hAnsi="仿宋_GB2312" w:eastAsia="仿宋_GB2312" w:cs="仿宋_GB2312"/>
                <w:color w:val="000000"/>
                <w:szCs w:val="21"/>
                <w:lang w:eastAsia="zh-CN"/>
              </w:rPr>
            </w:pPr>
            <w:r>
              <w:rPr>
                <w:rFonts w:hint="eastAsia" w:ascii="仿宋_GB2312" w:hAnsi="仿宋_GB2312" w:eastAsia="仿宋_GB2312" w:cs="仿宋_GB2312"/>
                <w:color w:val="000000"/>
                <w:szCs w:val="21"/>
                <w:lang w:eastAsia="zh-CN"/>
              </w:rPr>
              <w:t>中国石化销售股份有限公司湖南高速分公司李洞路加油站</w:t>
            </w:r>
          </w:p>
        </w:tc>
        <w:tc>
          <w:tcPr>
            <w:tcW w:w="2540" w:type="dxa"/>
            <w:noWrap w:val="0"/>
            <w:vAlign w:val="center"/>
          </w:tcPr>
          <w:p>
            <w:pPr>
              <w:jc w:val="center"/>
              <w:rPr>
                <w:rFonts w:hint="eastAsia" w:ascii="仿宋_GB2312" w:hAnsi="仿宋_GB2312" w:eastAsia="仿宋_GB2312" w:cs="仿宋_GB2312"/>
                <w:color w:val="000000"/>
                <w:szCs w:val="21"/>
                <w:lang w:eastAsia="zh-CN"/>
              </w:rPr>
            </w:pPr>
            <w:r>
              <w:rPr>
                <w:rFonts w:hint="eastAsia" w:ascii="仿宋_GB2312" w:hAnsi="仿宋_GB2312" w:eastAsia="仿宋_GB2312" w:cs="仿宋_GB2312"/>
                <w:color w:val="000000"/>
                <w:szCs w:val="21"/>
                <w:lang w:val="en-US" w:eastAsia="zh-CN"/>
              </w:rPr>
              <w:t>易燃易爆场所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jc w:val="center"/>
        </w:trPr>
        <w:tc>
          <w:tcPr>
            <w:tcW w:w="904" w:type="dxa"/>
            <w:vMerge w:val="restart"/>
            <w:noWrap w:val="0"/>
            <w:vAlign w:val="center"/>
          </w:tcPr>
          <w:p>
            <w:pPr>
              <w:jc w:val="center"/>
              <w:rPr>
                <w:rFonts w:hint="eastAsia" w:ascii="方正小标宋简体" w:hAnsi="方正小标宋简体" w:eastAsia="方正小标宋简体" w:cs="方正小标宋简体"/>
                <w:color w:val="000000"/>
                <w:sz w:val="36"/>
                <w:szCs w:val="36"/>
                <w:vertAlign w:val="baseline"/>
              </w:rPr>
            </w:pPr>
            <w:r>
              <w:rPr>
                <w:rFonts w:hint="eastAsia" w:ascii="仿宋_GB2312" w:hAnsi="仿宋_GB2312" w:eastAsia="仿宋_GB2312" w:cs="仿宋_GB2312"/>
                <w:color w:val="000000"/>
                <w:szCs w:val="21"/>
              </w:rPr>
              <w:t>七月</w:t>
            </w:r>
          </w:p>
        </w:tc>
        <w:tc>
          <w:tcPr>
            <w:tcW w:w="1088" w:type="dxa"/>
            <w:noWrap w:val="0"/>
            <w:vAlign w:val="center"/>
          </w:tcPr>
          <w:p>
            <w:pPr>
              <w:jc w:val="center"/>
              <w:rPr>
                <w:rFonts w:hint="default"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31</w:t>
            </w:r>
          </w:p>
        </w:tc>
        <w:tc>
          <w:tcPr>
            <w:tcW w:w="3990" w:type="dxa"/>
            <w:noWrap w:val="0"/>
            <w:vAlign w:val="top"/>
          </w:tcPr>
          <w:p>
            <w:pPr>
              <w:jc w:val="left"/>
              <w:rPr>
                <w:rFonts w:hint="eastAsia" w:ascii="仿宋_GB2312" w:hAnsi="仿宋_GB2312" w:eastAsia="仿宋_GB2312" w:cs="仿宋_GB2312"/>
                <w:color w:val="000000"/>
                <w:szCs w:val="21"/>
                <w:lang w:eastAsia="zh-CN"/>
              </w:rPr>
            </w:pPr>
            <w:r>
              <w:rPr>
                <w:rFonts w:hint="eastAsia" w:ascii="仿宋_GB2312" w:hAnsi="仿宋_GB2312" w:eastAsia="仿宋_GB2312" w:cs="仿宋_GB2312"/>
                <w:color w:val="000000"/>
                <w:szCs w:val="21"/>
                <w:lang w:eastAsia="zh-CN"/>
              </w:rPr>
              <w:t>中石化长沙石油分公司洪山庙一加油站</w:t>
            </w:r>
          </w:p>
        </w:tc>
        <w:tc>
          <w:tcPr>
            <w:tcW w:w="2540" w:type="dxa"/>
            <w:noWrap w:val="0"/>
            <w:vAlign w:val="center"/>
          </w:tcPr>
          <w:p>
            <w:pPr>
              <w:jc w:val="center"/>
              <w:rPr>
                <w:rFonts w:hint="eastAsia" w:ascii="仿宋_GB2312" w:hAnsi="仿宋_GB2312" w:eastAsia="仿宋_GB2312" w:cs="仿宋_GB2312"/>
                <w:color w:val="000000"/>
                <w:szCs w:val="21"/>
                <w:lang w:eastAsia="zh-CN"/>
              </w:rPr>
            </w:pPr>
            <w:r>
              <w:rPr>
                <w:rFonts w:hint="eastAsia" w:ascii="仿宋_GB2312" w:hAnsi="仿宋_GB2312" w:eastAsia="仿宋_GB2312" w:cs="仿宋_GB2312"/>
                <w:color w:val="000000"/>
                <w:szCs w:val="21"/>
                <w:lang w:val="en-US" w:eastAsia="zh-CN"/>
              </w:rPr>
              <w:t>易燃易爆场所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jc w:val="center"/>
        </w:trPr>
        <w:tc>
          <w:tcPr>
            <w:tcW w:w="904" w:type="dxa"/>
            <w:vMerge w:val="continue"/>
            <w:noWrap w:val="0"/>
            <w:vAlign w:val="center"/>
          </w:tcPr>
          <w:p>
            <w:pPr>
              <w:jc w:val="left"/>
            </w:pPr>
          </w:p>
        </w:tc>
        <w:tc>
          <w:tcPr>
            <w:tcW w:w="1088" w:type="dxa"/>
            <w:noWrap w:val="0"/>
            <w:vAlign w:val="center"/>
          </w:tcPr>
          <w:p>
            <w:pPr>
              <w:jc w:val="center"/>
              <w:rPr>
                <w:rFonts w:hint="default"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32</w:t>
            </w:r>
          </w:p>
        </w:tc>
        <w:tc>
          <w:tcPr>
            <w:tcW w:w="3990" w:type="dxa"/>
            <w:noWrap w:val="0"/>
            <w:vAlign w:val="top"/>
          </w:tcPr>
          <w:p>
            <w:pPr>
              <w:jc w:val="left"/>
              <w:rPr>
                <w:rFonts w:hint="eastAsia" w:ascii="仿宋_GB2312" w:hAnsi="仿宋_GB2312" w:eastAsia="仿宋_GB2312" w:cs="仿宋_GB2312"/>
                <w:color w:val="000000"/>
                <w:szCs w:val="21"/>
                <w:lang w:eastAsia="zh-CN"/>
              </w:rPr>
            </w:pPr>
            <w:r>
              <w:rPr>
                <w:rFonts w:hint="eastAsia" w:ascii="仿宋_GB2312" w:hAnsi="仿宋_GB2312" w:eastAsia="仿宋_GB2312" w:cs="仿宋_GB2312"/>
                <w:color w:val="000000"/>
                <w:szCs w:val="21"/>
                <w:lang w:eastAsia="zh-CN"/>
              </w:rPr>
              <w:t>中石化长沙石油分公司洪山庙二加油站</w:t>
            </w:r>
          </w:p>
        </w:tc>
        <w:tc>
          <w:tcPr>
            <w:tcW w:w="2540" w:type="dxa"/>
            <w:noWrap w:val="0"/>
            <w:vAlign w:val="center"/>
          </w:tcPr>
          <w:p>
            <w:pPr>
              <w:jc w:val="center"/>
              <w:rPr>
                <w:rFonts w:hint="eastAsia" w:ascii="仿宋_GB2312" w:hAnsi="仿宋_GB2312" w:eastAsia="仿宋_GB2312" w:cs="仿宋_GB2312"/>
                <w:color w:val="000000"/>
                <w:szCs w:val="21"/>
                <w:lang w:eastAsia="zh-CN"/>
              </w:rPr>
            </w:pPr>
            <w:r>
              <w:rPr>
                <w:rFonts w:hint="eastAsia" w:ascii="仿宋_GB2312" w:hAnsi="仿宋_GB2312" w:eastAsia="仿宋_GB2312" w:cs="仿宋_GB2312"/>
                <w:color w:val="000000"/>
                <w:szCs w:val="21"/>
                <w:lang w:val="en-US" w:eastAsia="zh-CN"/>
              </w:rPr>
              <w:t>易燃易爆场所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jc w:val="center"/>
        </w:trPr>
        <w:tc>
          <w:tcPr>
            <w:tcW w:w="904" w:type="dxa"/>
            <w:vMerge w:val="continue"/>
            <w:noWrap w:val="0"/>
            <w:vAlign w:val="center"/>
          </w:tcPr>
          <w:p>
            <w:pPr>
              <w:jc w:val="left"/>
              <w:rPr>
                <w:rFonts w:hint="eastAsia" w:ascii="仿宋_GB2312" w:hAnsi="仿宋_GB2312" w:eastAsia="仿宋_GB2312" w:cs="仿宋_GB2312"/>
                <w:color w:val="000000"/>
                <w:szCs w:val="21"/>
                <w:lang w:eastAsia="zh-CN"/>
              </w:rPr>
            </w:pPr>
          </w:p>
        </w:tc>
        <w:tc>
          <w:tcPr>
            <w:tcW w:w="1088" w:type="dxa"/>
            <w:noWrap w:val="0"/>
            <w:vAlign w:val="center"/>
          </w:tcPr>
          <w:p>
            <w:pPr>
              <w:jc w:val="center"/>
              <w:rPr>
                <w:rFonts w:hint="default"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33</w:t>
            </w:r>
          </w:p>
        </w:tc>
        <w:tc>
          <w:tcPr>
            <w:tcW w:w="3990" w:type="dxa"/>
            <w:noWrap w:val="0"/>
            <w:vAlign w:val="top"/>
          </w:tcPr>
          <w:p>
            <w:pPr>
              <w:jc w:val="left"/>
              <w:rPr>
                <w:rFonts w:hint="eastAsia" w:ascii="仿宋_GB2312" w:hAnsi="仿宋_GB2312" w:eastAsia="仿宋_GB2312" w:cs="仿宋_GB2312"/>
                <w:color w:val="000000"/>
                <w:szCs w:val="21"/>
                <w:lang w:eastAsia="zh-CN"/>
              </w:rPr>
            </w:pPr>
            <w:r>
              <w:rPr>
                <w:rFonts w:hint="eastAsia" w:ascii="仿宋_GB2312" w:hAnsi="仿宋_GB2312" w:eastAsia="仿宋_GB2312" w:cs="仿宋_GB2312"/>
                <w:color w:val="000000"/>
                <w:szCs w:val="21"/>
                <w:lang w:eastAsia="zh-CN"/>
              </w:rPr>
              <w:t>中石化长沙石油分公司中岭加油站</w:t>
            </w:r>
          </w:p>
        </w:tc>
        <w:tc>
          <w:tcPr>
            <w:tcW w:w="2540" w:type="dxa"/>
            <w:noWrap w:val="0"/>
            <w:vAlign w:val="center"/>
          </w:tcPr>
          <w:p>
            <w:pPr>
              <w:jc w:val="center"/>
              <w:rPr>
                <w:rFonts w:hint="eastAsia" w:ascii="仿宋_GB2312" w:hAnsi="仿宋_GB2312" w:eastAsia="仿宋_GB2312" w:cs="仿宋_GB2312"/>
                <w:color w:val="000000"/>
                <w:szCs w:val="21"/>
                <w:lang w:eastAsia="zh-CN"/>
              </w:rPr>
            </w:pPr>
            <w:r>
              <w:rPr>
                <w:rFonts w:hint="eastAsia" w:ascii="仿宋_GB2312" w:hAnsi="仿宋_GB2312" w:eastAsia="仿宋_GB2312" w:cs="仿宋_GB2312"/>
                <w:color w:val="000000"/>
                <w:szCs w:val="21"/>
                <w:lang w:val="en-US" w:eastAsia="zh-CN"/>
              </w:rPr>
              <w:t>易燃易爆场所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jc w:val="center"/>
        </w:trPr>
        <w:tc>
          <w:tcPr>
            <w:tcW w:w="904" w:type="dxa"/>
            <w:vMerge w:val="continue"/>
            <w:noWrap w:val="0"/>
            <w:vAlign w:val="center"/>
          </w:tcPr>
          <w:p>
            <w:pPr>
              <w:jc w:val="left"/>
              <w:rPr>
                <w:rFonts w:hint="eastAsia" w:ascii="仿宋_GB2312" w:hAnsi="仿宋_GB2312" w:eastAsia="仿宋_GB2312" w:cs="仿宋_GB2312"/>
                <w:color w:val="000000"/>
                <w:szCs w:val="21"/>
                <w:lang w:eastAsia="zh-CN"/>
              </w:rPr>
            </w:pPr>
          </w:p>
        </w:tc>
        <w:tc>
          <w:tcPr>
            <w:tcW w:w="1088" w:type="dxa"/>
            <w:noWrap w:val="0"/>
            <w:vAlign w:val="center"/>
          </w:tcPr>
          <w:p>
            <w:pPr>
              <w:jc w:val="center"/>
              <w:rPr>
                <w:rFonts w:hint="default"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34</w:t>
            </w:r>
          </w:p>
        </w:tc>
        <w:tc>
          <w:tcPr>
            <w:tcW w:w="3990" w:type="dxa"/>
            <w:noWrap w:val="0"/>
            <w:vAlign w:val="top"/>
          </w:tcPr>
          <w:p>
            <w:pPr>
              <w:jc w:val="left"/>
              <w:rPr>
                <w:rFonts w:hint="eastAsia" w:ascii="仿宋_GB2312" w:hAnsi="仿宋_GB2312" w:eastAsia="仿宋_GB2312" w:cs="仿宋_GB2312"/>
                <w:color w:val="000000"/>
                <w:szCs w:val="21"/>
                <w:lang w:eastAsia="zh-CN"/>
              </w:rPr>
            </w:pPr>
            <w:r>
              <w:rPr>
                <w:rFonts w:hint="eastAsia" w:ascii="仿宋_GB2312" w:hAnsi="仿宋_GB2312" w:eastAsia="仿宋_GB2312" w:cs="仿宋_GB2312"/>
                <w:color w:val="000000"/>
                <w:szCs w:val="21"/>
                <w:lang w:eastAsia="zh-CN"/>
              </w:rPr>
              <w:t>中石油雷锋大道加油站</w:t>
            </w:r>
          </w:p>
        </w:tc>
        <w:tc>
          <w:tcPr>
            <w:tcW w:w="2540" w:type="dxa"/>
            <w:noWrap w:val="0"/>
            <w:vAlign w:val="center"/>
          </w:tcPr>
          <w:p>
            <w:pPr>
              <w:jc w:val="center"/>
              <w:rPr>
                <w:rFonts w:hint="eastAsia" w:ascii="仿宋_GB2312" w:hAnsi="仿宋_GB2312" w:eastAsia="仿宋_GB2312" w:cs="仿宋_GB2312"/>
                <w:color w:val="000000"/>
                <w:szCs w:val="21"/>
                <w:lang w:eastAsia="zh-CN"/>
              </w:rPr>
            </w:pPr>
            <w:r>
              <w:rPr>
                <w:rFonts w:hint="eastAsia" w:ascii="仿宋_GB2312" w:hAnsi="仿宋_GB2312" w:eastAsia="仿宋_GB2312" w:cs="仿宋_GB2312"/>
                <w:color w:val="000000"/>
                <w:szCs w:val="21"/>
                <w:lang w:val="en-US" w:eastAsia="zh-CN"/>
              </w:rPr>
              <w:t>易燃易爆场所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jc w:val="center"/>
        </w:trPr>
        <w:tc>
          <w:tcPr>
            <w:tcW w:w="904" w:type="dxa"/>
            <w:vMerge w:val="continue"/>
            <w:noWrap w:val="0"/>
            <w:vAlign w:val="center"/>
          </w:tcPr>
          <w:p>
            <w:pPr>
              <w:jc w:val="left"/>
              <w:rPr>
                <w:rFonts w:hint="eastAsia" w:ascii="仿宋_GB2312" w:hAnsi="仿宋_GB2312" w:eastAsia="仿宋_GB2312" w:cs="仿宋_GB2312"/>
                <w:color w:val="000000"/>
                <w:szCs w:val="21"/>
                <w:lang w:eastAsia="zh-CN"/>
              </w:rPr>
            </w:pPr>
          </w:p>
        </w:tc>
        <w:tc>
          <w:tcPr>
            <w:tcW w:w="1088" w:type="dxa"/>
            <w:noWrap w:val="0"/>
            <w:vAlign w:val="center"/>
          </w:tcPr>
          <w:p>
            <w:pPr>
              <w:jc w:val="center"/>
              <w:rPr>
                <w:rFonts w:hint="default"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35</w:t>
            </w:r>
          </w:p>
        </w:tc>
        <w:tc>
          <w:tcPr>
            <w:tcW w:w="3990" w:type="dxa"/>
            <w:noWrap w:val="0"/>
            <w:vAlign w:val="top"/>
          </w:tcPr>
          <w:p>
            <w:pPr>
              <w:jc w:val="left"/>
              <w:rPr>
                <w:rFonts w:hint="eastAsia" w:ascii="仿宋_GB2312" w:hAnsi="仿宋_GB2312" w:eastAsia="仿宋_GB2312" w:cs="仿宋_GB2312"/>
                <w:color w:val="000000"/>
                <w:szCs w:val="21"/>
                <w:lang w:eastAsia="zh-CN"/>
              </w:rPr>
            </w:pPr>
            <w:r>
              <w:rPr>
                <w:rFonts w:hint="eastAsia" w:ascii="仿宋_GB2312" w:hAnsi="仿宋_GB2312" w:eastAsia="仿宋_GB2312" w:cs="仿宋_GB2312"/>
                <w:color w:val="000000"/>
                <w:szCs w:val="21"/>
                <w:lang w:eastAsia="zh-CN"/>
              </w:rPr>
              <w:t>中国石化销售有限公司湖南长沙石油分公司星城加油站</w:t>
            </w:r>
          </w:p>
        </w:tc>
        <w:tc>
          <w:tcPr>
            <w:tcW w:w="2540" w:type="dxa"/>
            <w:noWrap w:val="0"/>
            <w:vAlign w:val="center"/>
          </w:tcPr>
          <w:p>
            <w:pPr>
              <w:jc w:val="center"/>
              <w:rPr>
                <w:rFonts w:hint="eastAsia" w:ascii="仿宋_GB2312" w:hAnsi="仿宋_GB2312" w:eastAsia="仿宋_GB2312" w:cs="仿宋_GB2312"/>
                <w:color w:val="000000"/>
                <w:szCs w:val="21"/>
                <w:lang w:eastAsia="zh-CN"/>
              </w:rPr>
            </w:pPr>
            <w:r>
              <w:rPr>
                <w:rFonts w:hint="eastAsia" w:ascii="仿宋_GB2312" w:hAnsi="仿宋_GB2312" w:eastAsia="仿宋_GB2312" w:cs="仿宋_GB2312"/>
                <w:color w:val="000000"/>
                <w:szCs w:val="21"/>
                <w:lang w:val="en-US" w:eastAsia="zh-CN"/>
              </w:rPr>
              <w:t>易燃易爆场所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jc w:val="center"/>
        </w:trPr>
        <w:tc>
          <w:tcPr>
            <w:tcW w:w="904" w:type="dxa"/>
            <w:vMerge w:val="restart"/>
            <w:noWrap w:val="0"/>
            <w:vAlign w:val="center"/>
          </w:tcPr>
          <w:p>
            <w:pPr>
              <w:jc w:val="center"/>
              <w:rPr>
                <w:rFonts w:hint="eastAsia" w:ascii="方正小标宋简体" w:hAnsi="方正小标宋简体" w:eastAsia="方正小标宋简体" w:cs="方正小标宋简体"/>
                <w:color w:val="000000"/>
                <w:sz w:val="36"/>
                <w:szCs w:val="36"/>
                <w:vertAlign w:val="baseline"/>
              </w:rPr>
            </w:pPr>
            <w:r>
              <w:rPr>
                <w:rFonts w:hint="eastAsia" w:ascii="仿宋_GB2312" w:hAnsi="仿宋_GB2312" w:eastAsia="仿宋_GB2312" w:cs="仿宋_GB2312"/>
                <w:color w:val="000000"/>
                <w:szCs w:val="21"/>
              </w:rPr>
              <w:t>八月</w:t>
            </w:r>
          </w:p>
        </w:tc>
        <w:tc>
          <w:tcPr>
            <w:tcW w:w="1088" w:type="dxa"/>
            <w:noWrap w:val="0"/>
            <w:vAlign w:val="center"/>
          </w:tcPr>
          <w:p>
            <w:pPr>
              <w:jc w:val="center"/>
              <w:rPr>
                <w:rFonts w:hint="default"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36</w:t>
            </w:r>
          </w:p>
        </w:tc>
        <w:tc>
          <w:tcPr>
            <w:tcW w:w="3990" w:type="dxa"/>
            <w:noWrap w:val="0"/>
            <w:vAlign w:val="top"/>
          </w:tcPr>
          <w:p>
            <w:pPr>
              <w:jc w:val="left"/>
              <w:rPr>
                <w:rFonts w:hint="eastAsia" w:ascii="仿宋_GB2312" w:hAnsi="仿宋_GB2312" w:eastAsia="仿宋_GB2312" w:cs="仿宋_GB2312"/>
                <w:color w:val="000000"/>
                <w:szCs w:val="21"/>
                <w:lang w:eastAsia="zh-CN"/>
              </w:rPr>
            </w:pPr>
            <w:r>
              <w:rPr>
                <w:rFonts w:hint="eastAsia" w:ascii="仿宋_GB2312" w:hAnsi="仿宋_GB2312" w:eastAsia="仿宋_GB2312" w:cs="仿宋_GB2312"/>
                <w:color w:val="000000"/>
                <w:szCs w:val="21"/>
                <w:lang w:eastAsia="zh-CN"/>
              </w:rPr>
              <w:t>中石化长沙石油分公司彭家巷加油站</w:t>
            </w:r>
          </w:p>
        </w:tc>
        <w:tc>
          <w:tcPr>
            <w:tcW w:w="2540" w:type="dxa"/>
            <w:noWrap w:val="0"/>
            <w:vAlign w:val="center"/>
          </w:tcPr>
          <w:p>
            <w:pPr>
              <w:jc w:val="center"/>
              <w:rPr>
                <w:rFonts w:hint="eastAsia" w:ascii="仿宋_GB2312" w:hAnsi="仿宋_GB2312" w:eastAsia="仿宋_GB2312" w:cs="仿宋_GB2312"/>
                <w:color w:val="000000"/>
                <w:szCs w:val="21"/>
                <w:lang w:eastAsia="zh-CN"/>
              </w:rPr>
            </w:pPr>
            <w:r>
              <w:rPr>
                <w:rFonts w:hint="eastAsia" w:ascii="仿宋_GB2312" w:hAnsi="仿宋_GB2312" w:eastAsia="仿宋_GB2312" w:cs="仿宋_GB2312"/>
                <w:color w:val="000000"/>
                <w:szCs w:val="21"/>
                <w:lang w:val="en-US" w:eastAsia="zh-CN"/>
              </w:rPr>
              <w:t>易燃易爆场所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jc w:val="center"/>
        </w:trPr>
        <w:tc>
          <w:tcPr>
            <w:tcW w:w="904" w:type="dxa"/>
            <w:vMerge w:val="continue"/>
            <w:noWrap w:val="0"/>
            <w:vAlign w:val="center"/>
          </w:tcPr>
          <w:p>
            <w:pPr>
              <w:jc w:val="left"/>
            </w:pPr>
          </w:p>
        </w:tc>
        <w:tc>
          <w:tcPr>
            <w:tcW w:w="1088" w:type="dxa"/>
            <w:noWrap w:val="0"/>
            <w:vAlign w:val="center"/>
          </w:tcPr>
          <w:p>
            <w:pPr>
              <w:jc w:val="center"/>
              <w:rPr>
                <w:rFonts w:hint="default"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37</w:t>
            </w:r>
          </w:p>
        </w:tc>
        <w:tc>
          <w:tcPr>
            <w:tcW w:w="3990" w:type="dxa"/>
            <w:noWrap w:val="0"/>
            <w:vAlign w:val="top"/>
          </w:tcPr>
          <w:p>
            <w:pPr>
              <w:jc w:val="left"/>
              <w:rPr>
                <w:rFonts w:hint="eastAsia" w:ascii="仿宋_GB2312" w:hAnsi="仿宋_GB2312" w:eastAsia="仿宋_GB2312" w:cs="仿宋_GB2312"/>
                <w:color w:val="000000"/>
                <w:szCs w:val="21"/>
                <w:lang w:eastAsia="zh-CN"/>
              </w:rPr>
            </w:pPr>
            <w:r>
              <w:rPr>
                <w:rFonts w:hint="eastAsia" w:ascii="仿宋_GB2312" w:hAnsi="仿宋_GB2312" w:eastAsia="仿宋_GB2312" w:cs="仿宋_GB2312"/>
                <w:color w:val="000000"/>
                <w:szCs w:val="21"/>
                <w:lang w:eastAsia="zh-CN"/>
              </w:rPr>
              <w:t>中石化长沙石油分公司合峰加油站</w:t>
            </w:r>
          </w:p>
        </w:tc>
        <w:tc>
          <w:tcPr>
            <w:tcW w:w="2540" w:type="dxa"/>
            <w:noWrap w:val="0"/>
            <w:vAlign w:val="center"/>
          </w:tcPr>
          <w:p>
            <w:pPr>
              <w:jc w:val="center"/>
              <w:rPr>
                <w:rFonts w:hint="eastAsia" w:ascii="仿宋_GB2312" w:hAnsi="仿宋_GB2312" w:eastAsia="仿宋_GB2312" w:cs="仿宋_GB2312"/>
                <w:color w:val="000000"/>
                <w:szCs w:val="21"/>
                <w:lang w:eastAsia="zh-CN"/>
              </w:rPr>
            </w:pPr>
            <w:r>
              <w:rPr>
                <w:rFonts w:hint="eastAsia" w:ascii="仿宋_GB2312" w:hAnsi="仿宋_GB2312" w:eastAsia="仿宋_GB2312" w:cs="仿宋_GB2312"/>
                <w:color w:val="000000"/>
                <w:szCs w:val="21"/>
                <w:lang w:val="en-US" w:eastAsia="zh-CN"/>
              </w:rPr>
              <w:t>易燃易爆场所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jc w:val="center"/>
        </w:trPr>
        <w:tc>
          <w:tcPr>
            <w:tcW w:w="904" w:type="dxa"/>
            <w:vMerge w:val="continue"/>
            <w:noWrap w:val="0"/>
            <w:vAlign w:val="center"/>
          </w:tcPr>
          <w:p>
            <w:pPr>
              <w:jc w:val="left"/>
              <w:rPr>
                <w:rFonts w:hint="eastAsia" w:ascii="仿宋_GB2312" w:hAnsi="仿宋_GB2312" w:eastAsia="仿宋_GB2312" w:cs="仿宋_GB2312"/>
                <w:color w:val="000000"/>
                <w:szCs w:val="21"/>
                <w:lang w:eastAsia="zh-CN"/>
              </w:rPr>
            </w:pPr>
          </w:p>
        </w:tc>
        <w:tc>
          <w:tcPr>
            <w:tcW w:w="1088" w:type="dxa"/>
            <w:noWrap w:val="0"/>
            <w:vAlign w:val="center"/>
          </w:tcPr>
          <w:p>
            <w:pPr>
              <w:jc w:val="center"/>
              <w:rPr>
                <w:rFonts w:hint="default"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38</w:t>
            </w:r>
          </w:p>
        </w:tc>
        <w:tc>
          <w:tcPr>
            <w:tcW w:w="3990" w:type="dxa"/>
            <w:noWrap w:val="0"/>
            <w:vAlign w:val="top"/>
          </w:tcPr>
          <w:p>
            <w:pPr>
              <w:jc w:val="left"/>
              <w:rPr>
                <w:rFonts w:hint="eastAsia" w:ascii="仿宋_GB2312" w:hAnsi="仿宋_GB2312" w:eastAsia="仿宋_GB2312" w:cs="仿宋_GB2312"/>
                <w:color w:val="000000"/>
                <w:szCs w:val="21"/>
                <w:lang w:eastAsia="zh-CN"/>
              </w:rPr>
            </w:pPr>
            <w:r>
              <w:rPr>
                <w:rFonts w:hint="eastAsia" w:ascii="仿宋_GB2312" w:hAnsi="仿宋_GB2312" w:eastAsia="仿宋_GB2312" w:cs="仿宋_GB2312"/>
                <w:color w:val="000000"/>
                <w:szCs w:val="21"/>
                <w:lang w:eastAsia="zh-CN"/>
              </w:rPr>
              <w:t>中石化长沙展览馆路加油站</w:t>
            </w:r>
          </w:p>
        </w:tc>
        <w:tc>
          <w:tcPr>
            <w:tcW w:w="2540" w:type="dxa"/>
            <w:noWrap w:val="0"/>
            <w:vAlign w:val="center"/>
          </w:tcPr>
          <w:p>
            <w:pPr>
              <w:jc w:val="center"/>
              <w:rPr>
                <w:rFonts w:hint="eastAsia" w:ascii="仿宋_GB2312" w:hAnsi="仿宋_GB2312" w:eastAsia="仿宋_GB2312" w:cs="仿宋_GB2312"/>
                <w:color w:val="000000"/>
                <w:szCs w:val="21"/>
                <w:lang w:eastAsia="zh-CN"/>
              </w:rPr>
            </w:pPr>
            <w:r>
              <w:rPr>
                <w:rFonts w:hint="eastAsia" w:ascii="仿宋_GB2312" w:hAnsi="仿宋_GB2312" w:eastAsia="仿宋_GB2312" w:cs="仿宋_GB2312"/>
                <w:color w:val="000000"/>
                <w:szCs w:val="21"/>
                <w:lang w:val="en-US" w:eastAsia="zh-CN"/>
              </w:rPr>
              <w:t>易燃易爆场所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jc w:val="center"/>
        </w:trPr>
        <w:tc>
          <w:tcPr>
            <w:tcW w:w="904" w:type="dxa"/>
            <w:vMerge w:val="continue"/>
            <w:noWrap w:val="0"/>
            <w:vAlign w:val="center"/>
          </w:tcPr>
          <w:p>
            <w:pPr>
              <w:jc w:val="left"/>
              <w:rPr>
                <w:rFonts w:hint="eastAsia" w:ascii="仿宋_GB2312" w:hAnsi="仿宋_GB2312" w:eastAsia="仿宋_GB2312" w:cs="仿宋_GB2312"/>
                <w:color w:val="000000"/>
                <w:szCs w:val="21"/>
                <w:lang w:eastAsia="zh-CN"/>
              </w:rPr>
            </w:pPr>
          </w:p>
        </w:tc>
        <w:tc>
          <w:tcPr>
            <w:tcW w:w="1088" w:type="dxa"/>
            <w:noWrap w:val="0"/>
            <w:vAlign w:val="center"/>
          </w:tcPr>
          <w:p>
            <w:pPr>
              <w:jc w:val="center"/>
              <w:rPr>
                <w:rFonts w:hint="default"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39</w:t>
            </w:r>
          </w:p>
        </w:tc>
        <w:tc>
          <w:tcPr>
            <w:tcW w:w="3990" w:type="dxa"/>
            <w:noWrap w:val="0"/>
            <w:vAlign w:val="top"/>
          </w:tcPr>
          <w:p>
            <w:pPr>
              <w:jc w:val="left"/>
              <w:rPr>
                <w:rFonts w:hint="eastAsia" w:ascii="仿宋_GB2312" w:hAnsi="仿宋_GB2312" w:eastAsia="仿宋_GB2312" w:cs="仿宋_GB2312"/>
                <w:color w:val="000000"/>
                <w:szCs w:val="21"/>
                <w:lang w:eastAsia="zh-CN"/>
              </w:rPr>
            </w:pPr>
            <w:r>
              <w:rPr>
                <w:rFonts w:hint="eastAsia" w:ascii="仿宋_GB2312" w:hAnsi="仿宋_GB2312" w:eastAsia="仿宋_GB2312" w:cs="仿宋_GB2312"/>
                <w:color w:val="000000"/>
                <w:szCs w:val="21"/>
                <w:lang w:eastAsia="zh-CN"/>
              </w:rPr>
              <w:t>中石化长沙德雅路加油站</w:t>
            </w:r>
          </w:p>
        </w:tc>
        <w:tc>
          <w:tcPr>
            <w:tcW w:w="2540" w:type="dxa"/>
            <w:noWrap w:val="0"/>
            <w:vAlign w:val="center"/>
          </w:tcPr>
          <w:p>
            <w:pPr>
              <w:jc w:val="center"/>
              <w:rPr>
                <w:rFonts w:hint="eastAsia" w:ascii="仿宋_GB2312" w:hAnsi="仿宋_GB2312" w:eastAsia="仿宋_GB2312" w:cs="仿宋_GB2312"/>
                <w:color w:val="000000"/>
                <w:szCs w:val="21"/>
                <w:lang w:eastAsia="zh-CN"/>
              </w:rPr>
            </w:pPr>
            <w:r>
              <w:rPr>
                <w:rFonts w:hint="eastAsia" w:ascii="仿宋_GB2312" w:hAnsi="仿宋_GB2312" w:eastAsia="仿宋_GB2312" w:cs="仿宋_GB2312"/>
                <w:color w:val="000000"/>
                <w:szCs w:val="21"/>
                <w:lang w:val="en-US" w:eastAsia="zh-CN"/>
              </w:rPr>
              <w:t>易燃易爆场所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jc w:val="center"/>
        </w:trPr>
        <w:tc>
          <w:tcPr>
            <w:tcW w:w="904" w:type="dxa"/>
            <w:vMerge w:val="continue"/>
            <w:noWrap w:val="0"/>
            <w:vAlign w:val="center"/>
          </w:tcPr>
          <w:p>
            <w:pPr>
              <w:jc w:val="left"/>
              <w:rPr>
                <w:rFonts w:hint="eastAsia" w:ascii="仿宋_GB2312" w:hAnsi="仿宋_GB2312" w:eastAsia="仿宋_GB2312" w:cs="仿宋_GB2312"/>
                <w:color w:val="000000"/>
                <w:szCs w:val="21"/>
                <w:lang w:eastAsia="zh-CN"/>
              </w:rPr>
            </w:pPr>
          </w:p>
        </w:tc>
        <w:tc>
          <w:tcPr>
            <w:tcW w:w="1088" w:type="dxa"/>
            <w:noWrap w:val="0"/>
            <w:vAlign w:val="center"/>
          </w:tcPr>
          <w:p>
            <w:pPr>
              <w:jc w:val="center"/>
              <w:rPr>
                <w:rFonts w:hint="default"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40</w:t>
            </w:r>
          </w:p>
        </w:tc>
        <w:tc>
          <w:tcPr>
            <w:tcW w:w="3990" w:type="dxa"/>
            <w:noWrap w:val="0"/>
            <w:vAlign w:val="top"/>
          </w:tcPr>
          <w:p>
            <w:pPr>
              <w:jc w:val="left"/>
              <w:rPr>
                <w:rFonts w:hint="eastAsia" w:ascii="仿宋_GB2312" w:hAnsi="仿宋_GB2312" w:eastAsia="仿宋_GB2312" w:cs="仿宋_GB2312"/>
                <w:color w:val="000000"/>
                <w:szCs w:val="21"/>
                <w:lang w:eastAsia="zh-CN"/>
              </w:rPr>
            </w:pPr>
            <w:r>
              <w:rPr>
                <w:rFonts w:hint="eastAsia" w:ascii="仿宋_GB2312" w:hAnsi="仿宋_GB2312" w:eastAsia="仿宋_GB2312" w:cs="仿宋_GB2312"/>
                <w:color w:val="000000"/>
                <w:szCs w:val="21"/>
                <w:lang w:eastAsia="zh-CN"/>
              </w:rPr>
              <w:t>中石化长沙芙蓉北路加油站</w:t>
            </w:r>
          </w:p>
        </w:tc>
        <w:tc>
          <w:tcPr>
            <w:tcW w:w="2540" w:type="dxa"/>
            <w:noWrap w:val="0"/>
            <w:vAlign w:val="center"/>
          </w:tcPr>
          <w:p>
            <w:pPr>
              <w:jc w:val="center"/>
              <w:rPr>
                <w:rFonts w:hint="eastAsia" w:ascii="仿宋_GB2312" w:hAnsi="仿宋_GB2312" w:eastAsia="仿宋_GB2312" w:cs="仿宋_GB2312"/>
                <w:color w:val="000000"/>
                <w:szCs w:val="21"/>
                <w:lang w:eastAsia="zh-CN"/>
              </w:rPr>
            </w:pPr>
            <w:r>
              <w:rPr>
                <w:rFonts w:hint="eastAsia" w:ascii="仿宋_GB2312" w:hAnsi="仿宋_GB2312" w:eastAsia="仿宋_GB2312" w:cs="仿宋_GB2312"/>
                <w:color w:val="000000"/>
                <w:szCs w:val="21"/>
                <w:lang w:val="en-US" w:eastAsia="zh-CN"/>
              </w:rPr>
              <w:t>易燃易爆场所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jc w:val="center"/>
        </w:trPr>
        <w:tc>
          <w:tcPr>
            <w:tcW w:w="904" w:type="dxa"/>
            <w:vMerge w:val="restart"/>
            <w:noWrap w:val="0"/>
            <w:vAlign w:val="center"/>
          </w:tcPr>
          <w:p>
            <w:pPr>
              <w:jc w:val="center"/>
              <w:rPr>
                <w:rFonts w:hint="eastAsia" w:ascii="方正小标宋简体" w:hAnsi="方正小标宋简体" w:eastAsia="方正小标宋简体" w:cs="方正小标宋简体"/>
                <w:color w:val="000000"/>
                <w:sz w:val="36"/>
                <w:szCs w:val="36"/>
                <w:vertAlign w:val="baseline"/>
              </w:rPr>
            </w:pPr>
            <w:r>
              <w:rPr>
                <w:rFonts w:hint="eastAsia" w:ascii="仿宋_GB2312" w:hAnsi="仿宋_GB2312" w:eastAsia="仿宋_GB2312" w:cs="仿宋_GB2312"/>
                <w:color w:val="000000"/>
                <w:szCs w:val="21"/>
              </w:rPr>
              <w:t>九月</w:t>
            </w:r>
          </w:p>
        </w:tc>
        <w:tc>
          <w:tcPr>
            <w:tcW w:w="1088" w:type="dxa"/>
            <w:noWrap w:val="0"/>
            <w:vAlign w:val="center"/>
          </w:tcPr>
          <w:p>
            <w:pPr>
              <w:jc w:val="center"/>
              <w:rPr>
                <w:rFonts w:hint="default"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41</w:t>
            </w:r>
          </w:p>
        </w:tc>
        <w:tc>
          <w:tcPr>
            <w:tcW w:w="3990" w:type="dxa"/>
            <w:noWrap w:val="0"/>
            <w:vAlign w:val="top"/>
          </w:tcPr>
          <w:p>
            <w:pPr>
              <w:jc w:val="left"/>
              <w:rPr>
                <w:rFonts w:hint="eastAsia" w:ascii="仿宋_GB2312" w:hAnsi="仿宋_GB2312" w:eastAsia="仿宋_GB2312" w:cs="仿宋_GB2312"/>
                <w:color w:val="000000"/>
                <w:szCs w:val="21"/>
                <w:lang w:eastAsia="zh-CN"/>
              </w:rPr>
            </w:pPr>
            <w:r>
              <w:rPr>
                <w:rFonts w:hint="eastAsia" w:ascii="仿宋_GB2312" w:hAnsi="仿宋_GB2312" w:eastAsia="仿宋_GB2312" w:cs="仿宋_GB2312"/>
                <w:color w:val="000000"/>
                <w:szCs w:val="21"/>
                <w:lang w:eastAsia="zh-CN"/>
              </w:rPr>
              <w:t>长沙世界之窗</w:t>
            </w:r>
          </w:p>
        </w:tc>
        <w:tc>
          <w:tcPr>
            <w:tcW w:w="2540" w:type="dxa"/>
            <w:noWrap w:val="0"/>
            <w:vAlign w:val="center"/>
          </w:tcPr>
          <w:p>
            <w:pPr>
              <w:jc w:val="center"/>
              <w:rPr>
                <w:rFonts w:hint="eastAsia" w:ascii="仿宋_GB2312" w:hAnsi="仿宋_GB2312" w:eastAsia="仿宋_GB2312" w:cs="仿宋_GB2312"/>
                <w:color w:val="000000"/>
                <w:szCs w:val="21"/>
                <w:lang w:eastAsia="zh-CN"/>
              </w:rPr>
            </w:pPr>
            <w:r>
              <w:rPr>
                <w:rFonts w:hint="eastAsia" w:ascii="仿宋_GB2312" w:hAnsi="仿宋_GB2312" w:eastAsia="仿宋_GB2312" w:cs="仿宋_GB2312"/>
                <w:color w:val="000000"/>
                <w:szCs w:val="21"/>
                <w:lang w:val="en-US" w:eastAsia="zh-CN"/>
              </w:rPr>
              <w:t>旅游景点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jc w:val="center"/>
        </w:trPr>
        <w:tc>
          <w:tcPr>
            <w:tcW w:w="904" w:type="dxa"/>
            <w:vMerge w:val="continue"/>
            <w:noWrap w:val="0"/>
            <w:vAlign w:val="center"/>
          </w:tcPr>
          <w:p>
            <w:pPr>
              <w:jc w:val="left"/>
            </w:pPr>
          </w:p>
        </w:tc>
        <w:tc>
          <w:tcPr>
            <w:tcW w:w="1088" w:type="dxa"/>
            <w:noWrap w:val="0"/>
            <w:vAlign w:val="center"/>
          </w:tcPr>
          <w:p>
            <w:pPr>
              <w:jc w:val="center"/>
              <w:rPr>
                <w:rFonts w:hint="default"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42</w:t>
            </w:r>
          </w:p>
        </w:tc>
        <w:tc>
          <w:tcPr>
            <w:tcW w:w="3990" w:type="dxa"/>
            <w:noWrap w:val="0"/>
            <w:vAlign w:val="top"/>
          </w:tcPr>
          <w:p>
            <w:pPr>
              <w:jc w:val="left"/>
              <w:rPr>
                <w:rFonts w:hint="eastAsia" w:ascii="仿宋_GB2312" w:hAnsi="仿宋_GB2312" w:eastAsia="仿宋_GB2312" w:cs="仿宋_GB2312"/>
                <w:color w:val="000000"/>
                <w:szCs w:val="21"/>
                <w:lang w:eastAsia="zh-CN"/>
              </w:rPr>
            </w:pPr>
            <w:r>
              <w:rPr>
                <w:rFonts w:hint="eastAsia" w:ascii="仿宋_GB2312" w:hAnsi="仿宋_GB2312" w:eastAsia="仿宋_GB2312" w:cs="仿宋_GB2312"/>
                <w:color w:val="000000"/>
                <w:szCs w:val="21"/>
                <w:lang w:eastAsia="zh-CN"/>
              </w:rPr>
              <w:t>海底世界</w:t>
            </w:r>
          </w:p>
        </w:tc>
        <w:tc>
          <w:tcPr>
            <w:tcW w:w="2540" w:type="dxa"/>
            <w:noWrap w:val="0"/>
            <w:vAlign w:val="center"/>
          </w:tcPr>
          <w:p>
            <w:pPr>
              <w:jc w:val="center"/>
              <w:rPr>
                <w:rFonts w:hint="eastAsia" w:ascii="仿宋_GB2312" w:hAnsi="仿宋_GB2312" w:eastAsia="仿宋_GB2312" w:cs="仿宋_GB2312"/>
                <w:color w:val="000000"/>
                <w:szCs w:val="21"/>
                <w:lang w:eastAsia="zh-CN"/>
              </w:rPr>
            </w:pPr>
            <w:r>
              <w:rPr>
                <w:rFonts w:hint="eastAsia" w:ascii="仿宋_GB2312" w:hAnsi="仿宋_GB2312" w:eastAsia="仿宋_GB2312" w:cs="仿宋_GB2312"/>
                <w:color w:val="000000"/>
                <w:szCs w:val="21"/>
                <w:lang w:val="en-US" w:eastAsia="zh-CN"/>
              </w:rPr>
              <w:t>旅游景点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jc w:val="center"/>
        </w:trPr>
        <w:tc>
          <w:tcPr>
            <w:tcW w:w="904" w:type="dxa"/>
            <w:vMerge w:val="continue"/>
            <w:noWrap w:val="0"/>
            <w:vAlign w:val="center"/>
          </w:tcPr>
          <w:p>
            <w:pPr>
              <w:jc w:val="left"/>
              <w:rPr>
                <w:rFonts w:hint="eastAsia" w:ascii="仿宋_GB2312" w:hAnsi="仿宋_GB2312" w:eastAsia="仿宋_GB2312" w:cs="仿宋_GB2312"/>
                <w:color w:val="000000"/>
                <w:szCs w:val="21"/>
                <w:lang w:eastAsia="zh-CN"/>
              </w:rPr>
            </w:pPr>
          </w:p>
        </w:tc>
        <w:tc>
          <w:tcPr>
            <w:tcW w:w="1088" w:type="dxa"/>
            <w:noWrap w:val="0"/>
            <w:vAlign w:val="center"/>
          </w:tcPr>
          <w:p>
            <w:pPr>
              <w:jc w:val="center"/>
              <w:rPr>
                <w:rFonts w:hint="default"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43</w:t>
            </w:r>
          </w:p>
        </w:tc>
        <w:tc>
          <w:tcPr>
            <w:tcW w:w="3990" w:type="dxa"/>
            <w:noWrap w:val="0"/>
            <w:vAlign w:val="top"/>
          </w:tcPr>
          <w:p>
            <w:pPr>
              <w:jc w:val="left"/>
              <w:rPr>
                <w:rFonts w:hint="eastAsia" w:ascii="仿宋_GB2312" w:hAnsi="仿宋_GB2312" w:eastAsia="仿宋_GB2312" w:cs="仿宋_GB2312"/>
                <w:color w:val="000000"/>
                <w:szCs w:val="21"/>
                <w:lang w:eastAsia="zh-CN"/>
              </w:rPr>
            </w:pPr>
            <w:r>
              <w:rPr>
                <w:rFonts w:hint="eastAsia" w:ascii="仿宋_GB2312" w:hAnsi="仿宋_GB2312" w:eastAsia="仿宋_GB2312" w:cs="仿宋_GB2312"/>
                <w:color w:val="000000"/>
                <w:szCs w:val="21"/>
                <w:lang w:eastAsia="zh-CN"/>
              </w:rPr>
              <w:t>湖南省博物馆</w:t>
            </w:r>
          </w:p>
        </w:tc>
        <w:tc>
          <w:tcPr>
            <w:tcW w:w="2540" w:type="dxa"/>
            <w:noWrap w:val="0"/>
            <w:vAlign w:val="center"/>
          </w:tcPr>
          <w:p>
            <w:pPr>
              <w:jc w:val="center"/>
              <w:rPr>
                <w:rFonts w:hint="eastAsia" w:ascii="仿宋_GB2312" w:hAnsi="仿宋_GB2312" w:eastAsia="仿宋_GB2312" w:cs="仿宋_GB2312"/>
                <w:color w:val="000000"/>
                <w:szCs w:val="21"/>
                <w:lang w:eastAsia="zh-CN"/>
              </w:rPr>
            </w:pPr>
            <w:r>
              <w:rPr>
                <w:rFonts w:hint="eastAsia" w:ascii="仿宋_GB2312" w:hAnsi="仿宋_GB2312" w:eastAsia="仿宋_GB2312" w:cs="仿宋_GB2312"/>
                <w:color w:val="000000"/>
                <w:szCs w:val="21"/>
                <w:lang w:val="en-US" w:eastAsia="zh-CN"/>
              </w:rPr>
              <w:t>旅游景点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jc w:val="center"/>
        </w:trPr>
        <w:tc>
          <w:tcPr>
            <w:tcW w:w="904" w:type="dxa"/>
            <w:vMerge w:val="continue"/>
            <w:noWrap w:val="0"/>
            <w:vAlign w:val="center"/>
          </w:tcPr>
          <w:p>
            <w:pPr>
              <w:jc w:val="left"/>
              <w:rPr>
                <w:rFonts w:hint="eastAsia" w:ascii="仿宋_GB2312" w:hAnsi="仿宋_GB2312" w:eastAsia="仿宋_GB2312" w:cs="仿宋_GB2312"/>
                <w:color w:val="000000"/>
                <w:szCs w:val="21"/>
                <w:lang w:eastAsia="zh-CN"/>
              </w:rPr>
            </w:pPr>
          </w:p>
        </w:tc>
        <w:tc>
          <w:tcPr>
            <w:tcW w:w="1088" w:type="dxa"/>
            <w:noWrap w:val="0"/>
            <w:vAlign w:val="center"/>
          </w:tcPr>
          <w:p>
            <w:pPr>
              <w:jc w:val="center"/>
              <w:rPr>
                <w:rFonts w:hint="default"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44</w:t>
            </w:r>
          </w:p>
        </w:tc>
        <w:tc>
          <w:tcPr>
            <w:tcW w:w="3990" w:type="dxa"/>
            <w:noWrap w:val="0"/>
            <w:vAlign w:val="top"/>
          </w:tcPr>
          <w:p>
            <w:pPr>
              <w:jc w:val="left"/>
              <w:rPr>
                <w:rFonts w:hint="eastAsia" w:ascii="仿宋_GB2312" w:hAnsi="仿宋_GB2312" w:eastAsia="仿宋_GB2312" w:cs="仿宋_GB2312"/>
                <w:color w:val="000000"/>
                <w:szCs w:val="21"/>
                <w:lang w:eastAsia="zh-CN"/>
              </w:rPr>
            </w:pPr>
            <w:r>
              <w:rPr>
                <w:rFonts w:hint="eastAsia" w:ascii="仿宋_GB2312" w:hAnsi="仿宋_GB2312" w:eastAsia="仿宋_GB2312" w:cs="仿宋_GB2312"/>
                <w:color w:val="000000"/>
                <w:szCs w:val="21"/>
                <w:lang w:eastAsia="zh-CN"/>
              </w:rPr>
              <w:t>橘子洲头景区</w:t>
            </w:r>
          </w:p>
        </w:tc>
        <w:tc>
          <w:tcPr>
            <w:tcW w:w="2540" w:type="dxa"/>
            <w:noWrap w:val="0"/>
            <w:vAlign w:val="center"/>
          </w:tcPr>
          <w:p>
            <w:pPr>
              <w:jc w:val="center"/>
              <w:rPr>
                <w:rFonts w:hint="eastAsia" w:ascii="仿宋_GB2312" w:hAnsi="仿宋_GB2312" w:eastAsia="仿宋_GB2312" w:cs="仿宋_GB2312"/>
                <w:color w:val="000000"/>
                <w:szCs w:val="21"/>
                <w:lang w:eastAsia="zh-CN"/>
              </w:rPr>
            </w:pPr>
            <w:r>
              <w:rPr>
                <w:rFonts w:hint="eastAsia" w:ascii="仿宋_GB2312" w:hAnsi="仿宋_GB2312" w:eastAsia="仿宋_GB2312" w:cs="仿宋_GB2312"/>
                <w:color w:val="000000"/>
                <w:szCs w:val="21"/>
                <w:lang w:val="en-US" w:eastAsia="zh-CN"/>
              </w:rPr>
              <w:t>旅游景点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jc w:val="center"/>
        </w:trPr>
        <w:tc>
          <w:tcPr>
            <w:tcW w:w="904" w:type="dxa"/>
            <w:vMerge w:val="continue"/>
            <w:noWrap w:val="0"/>
            <w:vAlign w:val="center"/>
          </w:tcPr>
          <w:p>
            <w:pPr>
              <w:jc w:val="left"/>
              <w:rPr>
                <w:rFonts w:hint="eastAsia" w:ascii="仿宋_GB2312" w:hAnsi="仿宋_GB2312" w:eastAsia="仿宋_GB2312" w:cs="仿宋_GB2312"/>
                <w:color w:val="000000"/>
                <w:szCs w:val="21"/>
                <w:lang w:eastAsia="zh-CN"/>
              </w:rPr>
            </w:pPr>
          </w:p>
        </w:tc>
        <w:tc>
          <w:tcPr>
            <w:tcW w:w="1088" w:type="dxa"/>
            <w:noWrap w:val="0"/>
            <w:vAlign w:val="center"/>
          </w:tcPr>
          <w:p>
            <w:pPr>
              <w:jc w:val="center"/>
              <w:rPr>
                <w:rFonts w:hint="default"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45</w:t>
            </w:r>
          </w:p>
        </w:tc>
        <w:tc>
          <w:tcPr>
            <w:tcW w:w="3990" w:type="dxa"/>
            <w:noWrap w:val="0"/>
            <w:vAlign w:val="top"/>
          </w:tcPr>
          <w:p>
            <w:pPr>
              <w:jc w:val="left"/>
              <w:rPr>
                <w:rFonts w:hint="eastAsia" w:ascii="仿宋_GB2312" w:hAnsi="仿宋_GB2312" w:eastAsia="仿宋_GB2312" w:cs="仿宋_GB2312"/>
                <w:color w:val="000000"/>
                <w:szCs w:val="21"/>
                <w:lang w:eastAsia="zh-CN"/>
              </w:rPr>
            </w:pPr>
            <w:r>
              <w:rPr>
                <w:rFonts w:hint="eastAsia" w:ascii="仿宋_GB2312" w:hAnsi="仿宋_GB2312" w:eastAsia="仿宋_GB2312" w:cs="仿宋_GB2312"/>
                <w:color w:val="000000"/>
                <w:szCs w:val="21"/>
                <w:lang w:eastAsia="zh-CN"/>
              </w:rPr>
              <w:t>岳麓山景区</w:t>
            </w:r>
          </w:p>
        </w:tc>
        <w:tc>
          <w:tcPr>
            <w:tcW w:w="2540" w:type="dxa"/>
            <w:noWrap w:val="0"/>
            <w:vAlign w:val="center"/>
          </w:tcPr>
          <w:p>
            <w:pPr>
              <w:jc w:val="center"/>
              <w:rPr>
                <w:rFonts w:hint="eastAsia" w:ascii="仿宋_GB2312" w:hAnsi="仿宋_GB2312" w:eastAsia="仿宋_GB2312" w:cs="仿宋_GB2312"/>
                <w:color w:val="000000"/>
                <w:szCs w:val="21"/>
                <w:lang w:eastAsia="zh-CN"/>
              </w:rPr>
            </w:pPr>
            <w:r>
              <w:rPr>
                <w:rFonts w:hint="eastAsia" w:ascii="仿宋_GB2312" w:hAnsi="仿宋_GB2312" w:eastAsia="仿宋_GB2312" w:cs="仿宋_GB2312"/>
                <w:color w:val="000000"/>
                <w:szCs w:val="21"/>
                <w:lang w:val="en-US" w:eastAsia="zh-CN"/>
              </w:rPr>
              <w:t>旅游景点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jc w:val="center"/>
        </w:trPr>
        <w:tc>
          <w:tcPr>
            <w:tcW w:w="904" w:type="dxa"/>
            <w:vMerge w:val="restart"/>
            <w:noWrap w:val="0"/>
            <w:vAlign w:val="center"/>
          </w:tcPr>
          <w:p>
            <w:pPr>
              <w:jc w:val="center"/>
              <w:rPr>
                <w:rFonts w:hint="eastAsia" w:ascii="方正小标宋简体" w:hAnsi="方正小标宋简体" w:eastAsia="方正小标宋简体" w:cs="方正小标宋简体"/>
                <w:color w:val="000000"/>
                <w:sz w:val="36"/>
                <w:szCs w:val="36"/>
                <w:vertAlign w:val="baseline"/>
              </w:rPr>
            </w:pPr>
            <w:r>
              <w:rPr>
                <w:rFonts w:hint="eastAsia" w:ascii="仿宋_GB2312" w:hAnsi="仿宋_GB2312" w:eastAsia="仿宋_GB2312" w:cs="仿宋_GB2312"/>
                <w:color w:val="000000"/>
                <w:szCs w:val="21"/>
              </w:rPr>
              <w:t>十月</w:t>
            </w:r>
          </w:p>
        </w:tc>
        <w:tc>
          <w:tcPr>
            <w:tcW w:w="1088" w:type="dxa"/>
            <w:noWrap w:val="0"/>
            <w:vAlign w:val="center"/>
          </w:tcPr>
          <w:p>
            <w:pPr>
              <w:jc w:val="center"/>
              <w:rPr>
                <w:rFonts w:hint="default"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46</w:t>
            </w:r>
          </w:p>
        </w:tc>
        <w:tc>
          <w:tcPr>
            <w:tcW w:w="3990" w:type="dxa"/>
            <w:noWrap w:val="0"/>
            <w:vAlign w:val="top"/>
          </w:tcPr>
          <w:p>
            <w:pPr>
              <w:jc w:val="left"/>
              <w:rPr>
                <w:rFonts w:hint="default"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eastAsia="zh-CN"/>
              </w:rPr>
              <w:t>长沙顺捷加油站</w:t>
            </w:r>
          </w:p>
        </w:tc>
        <w:tc>
          <w:tcPr>
            <w:tcW w:w="2540" w:type="dxa"/>
            <w:noWrap w:val="0"/>
            <w:vAlign w:val="center"/>
          </w:tcPr>
          <w:p>
            <w:pPr>
              <w:jc w:val="center"/>
              <w:rPr>
                <w:rFonts w:hint="default"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易燃易爆场所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jc w:val="center"/>
        </w:trPr>
        <w:tc>
          <w:tcPr>
            <w:tcW w:w="904" w:type="dxa"/>
            <w:vMerge w:val="continue"/>
            <w:noWrap w:val="0"/>
            <w:vAlign w:val="center"/>
          </w:tcPr>
          <w:p>
            <w:pPr>
              <w:jc w:val="left"/>
            </w:pPr>
          </w:p>
        </w:tc>
        <w:tc>
          <w:tcPr>
            <w:tcW w:w="1088" w:type="dxa"/>
            <w:noWrap w:val="0"/>
            <w:vAlign w:val="center"/>
          </w:tcPr>
          <w:p>
            <w:pPr>
              <w:jc w:val="center"/>
              <w:rPr>
                <w:rFonts w:hint="default"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47</w:t>
            </w:r>
          </w:p>
        </w:tc>
        <w:tc>
          <w:tcPr>
            <w:tcW w:w="3990" w:type="dxa"/>
            <w:noWrap w:val="0"/>
            <w:vAlign w:val="top"/>
          </w:tcPr>
          <w:p>
            <w:pPr>
              <w:jc w:val="left"/>
              <w:rPr>
                <w:rFonts w:hint="eastAsia" w:ascii="仿宋_GB2312" w:hAnsi="仿宋_GB2312" w:eastAsia="仿宋_GB2312" w:cs="仿宋_GB2312"/>
                <w:color w:val="000000"/>
                <w:szCs w:val="21"/>
                <w:lang w:eastAsia="zh-CN"/>
              </w:rPr>
            </w:pPr>
            <w:r>
              <w:rPr>
                <w:rFonts w:hint="eastAsia" w:ascii="仿宋_GB2312" w:hAnsi="仿宋_GB2312" w:eastAsia="仿宋_GB2312" w:cs="仿宋_GB2312"/>
                <w:color w:val="000000"/>
                <w:szCs w:val="21"/>
                <w:lang w:eastAsia="zh-CN"/>
              </w:rPr>
              <w:t>伍家岭加油站</w:t>
            </w:r>
          </w:p>
        </w:tc>
        <w:tc>
          <w:tcPr>
            <w:tcW w:w="2540" w:type="dxa"/>
            <w:noWrap w:val="0"/>
            <w:vAlign w:val="center"/>
          </w:tcPr>
          <w:p>
            <w:pPr>
              <w:jc w:val="center"/>
              <w:rPr>
                <w:rFonts w:hint="default"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易燃易爆场所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jc w:val="center"/>
        </w:trPr>
        <w:tc>
          <w:tcPr>
            <w:tcW w:w="904" w:type="dxa"/>
            <w:vMerge w:val="continue"/>
            <w:noWrap w:val="0"/>
            <w:vAlign w:val="center"/>
          </w:tcPr>
          <w:p>
            <w:pPr>
              <w:jc w:val="left"/>
              <w:rPr>
                <w:rFonts w:hint="default" w:ascii="仿宋_GB2312" w:hAnsi="仿宋_GB2312" w:eastAsia="仿宋_GB2312" w:cs="仿宋_GB2312"/>
                <w:color w:val="000000"/>
                <w:szCs w:val="21"/>
                <w:lang w:val="en-US" w:eastAsia="zh-CN"/>
              </w:rPr>
            </w:pPr>
          </w:p>
        </w:tc>
        <w:tc>
          <w:tcPr>
            <w:tcW w:w="1088" w:type="dxa"/>
            <w:noWrap w:val="0"/>
            <w:vAlign w:val="center"/>
          </w:tcPr>
          <w:p>
            <w:pPr>
              <w:jc w:val="center"/>
              <w:rPr>
                <w:rFonts w:hint="default"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48</w:t>
            </w:r>
          </w:p>
        </w:tc>
        <w:tc>
          <w:tcPr>
            <w:tcW w:w="3990" w:type="dxa"/>
            <w:noWrap w:val="0"/>
            <w:vAlign w:val="top"/>
          </w:tcPr>
          <w:p>
            <w:pPr>
              <w:jc w:val="left"/>
              <w:rPr>
                <w:rFonts w:hint="default"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eastAsia="zh-CN"/>
              </w:rPr>
              <w:t>开福区金霞石化产品经营部大塘基加油站</w:t>
            </w:r>
          </w:p>
        </w:tc>
        <w:tc>
          <w:tcPr>
            <w:tcW w:w="2540" w:type="dxa"/>
            <w:noWrap w:val="0"/>
            <w:vAlign w:val="center"/>
          </w:tcPr>
          <w:p>
            <w:pPr>
              <w:jc w:val="center"/>
              <w:rPr>
                <w:rFonts w:hint="default"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易燃易爆场所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jc w:val="center"/>
        </w:trPr>
        <w:tc>
          <w:tcPr>
            <w:tcW w:w="904" w:type="dxa"/>
            <w:vMerge w:val="continue"/>
            <w:noWrap w:val="0"/>
            <w:vAlign w:val="center"/>
          </w:tcPr>
          <w:p>
            <w:pPr>
              <w:jc w:val="left"/>
              <w:rPr>
                <w:rFonts w:hint="default" w:ascii="仿宋_GB2312" w:hAnsi="仿宋_GB2312" w:eastAsia="仿宋_GB2312" w:cs="仿宋_GB2312"/>
                <w:color w:val="000000"/>
                <w:szCs w:val="21"/>
                <w:lang w:val="en-US" w:eastAsia="zh-CN"/>
              </w:rPr>
            </w:pPr>
          </w:p>
        </w:tc>
        <w:tc>
          <w:tcPr>
            <w:tcW w:w="1088" w:type="dxa"/>
            <w:noWrap w:val="0"/>
            <w:vAlign w:val="center"/>
          </w:tcPr>
          <w:p>
            <w:pPr>
              <w:jc w:val="center"/>
              <w:rPr>
                <w:rFonts w:hint="default"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49</w:t>
            </w:r>
          </w:p>
        </w:tc>
        <w:tc>
          <w:tcPr>
            <w:tcW w:w="3990" w:type="dxa"/>
            <w:noWrap w:val="0"/>
            <w:vAlign w:val="top"/>
          </w:tcPr>
          <w:p>
            <w:pPr>
              <w:jc w:val="left"/>
              <w:rPr>
                <w:rFonts w:hint="default"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eastAsia="zh-CN"/>
              </w:rPr>
              <w:t>长沙四方加油城有限责任公司</w:t>
            </w:r>
          </w:p>
        </w:tc>
        <w:tc>
          <w:tcPr>
            <w:tcW w:w="2540" w:type="dxa"/>
            <w:noWrap w:val="0"/>
            <w:vAlign w:val="center"/>
          </w:tcPr>
          <w:p>
            <w:pPr>
              <w:jc w:val="center"/>
              <w:rPr>
                <w:rFonts w:hint="default"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易燃易爆场所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jc w:val="center"/>
        </w:trPr>
        <w:tc>
          <w:tcPr>
            <w:tcW w:w="904" w:type="dxa"/>
            <w:vMerge w:val="continue"/>
            <w:noWrap w:val="0"/>
            <w:vAlign w:val="center"/>
          </w:tcPr>
          <w:p>
            <w:pPr>
              <w:jc w:val="left"/>
              <w:rPr>
                <w:rFonts w:hint="default" w:ascii="仿宋_GB2312" w:hAnsi="仿宋_GB2312" w:eastAsia="仿宋_GB2312" w:cs="仿宋_GB2312"/>
                <w:color w:val="000000"/>
                <w:szCs w:val="21"/>
                <w:lang w:val="en-US" w:eastAsia="zh-CN"/>
              </w:rPr>
            </w:pPr>
          </w:p>
        </w:tc>
        <w:tc>
          <w:tcPr>
            <w:tcW w:w="1088" w:type="dxa"/>
            <w:noWrap w:val="0"/>
            <w:vAlign w:val="center"/>
          </w:tcPr>
          <w:p>
            <w:pPr>
              <w:jc w:val="center"/>
              <w:rPr>
                <w:rFonts w:hint="default"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50</w:t>
            </w:r>
          </w:p>
        </w:tc>
        <w:tc>
          <w:tcPr>
            <w:tcW w:w="3990" w:type="dxa"/>
            <w:noWrap w:val="0"/>
            <w:vAlign w:val="top"/>
          </w:tcPr>
          <w:p>
            <w:pPr>
              <w:jc w:val="left"/>
              <w:rPr>
                <w:rFonts w:hint="default"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eastAsia="zh-CN"/>
              </w:rPr>
              <w:t>长沙市开福区捞刀河镇加油站</w:t>
            </w:r>
          </w:p>
        </w:tc>
        <w:tc>
          <w:tcPr>
            <w:tcW w:w="2540" w:type="dxa"/>
            <w:noWrap w:val="0"/>
            <w:vAlign w:val="center"/>
          </w:tcPr>
          <w:p>
            <w:pPr>
              <w:jc w:val="center"/>
              <w:rPr>
                <w:rFonts w:hint="default"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易燃易爆场所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jc w:val="center"/>
        </w:trPr>
        <w:tc>
          <w:tcPr>
            <w:tcW w:w="904" w:type="dxa"/>
            <w:vMerge w:val="restart"/>
            <w:noWrap w:val="0"/>
            <w:vAlign w:val="center"/>
          </w:tcPr>
          <w:p>
            <w:pPr>
              <w:jc w:val="center"/>
              <w:rPr>
                <w:rFonts w:hint="eastAsia" w:ascii="方正小标宋简体" w:hAnsi="方正小标宋简体" w:eastAsia="方正小标宋简体" w:cs="方正小标宋简体"/>
                <w:color w:val="000000"/>
                <w:sz w:val="36"/>
                <w:szCs w:val="36"/>
                <w:vertAlign w:val="baseline"/>
              </w:rPr>
            </w:pPr>
            <w:r>
              <w:rPr>
                <w:rFonts w:hint="eastAsia" w:ascii="仿宋_GB2312" w:hAnsi="仿宋_GB2312" w:eastAsia="仿宋_GB2312" w:cs="仿宋_GB2312"/>
                <w:color w:val="000000"/>
                <w:szCs w:val="21"/>
              </w:rPr>
              <w:t>十一月</w:t>
            </w:r>
          </w:p>
        </w:tc>
        <w:tc>
          <w:tcPr>
            <w:tcW w:w="1088" w:type="dxa"/>
            <w:noWrap w:val="0"/>
            <w:vAlign w:val="center"/>
          </w:tcPr>
          <w:p>
            <w:pPr>
              <w:jc w:val="center"/>
              <w:rPr>
                <w:rFonts w:hint="default"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51</w:t>
            </w:r>
          </w:p>
        </w:tc>
        <w:tc>
          <w:tcPr>
            <w:tcW w:w="3990" w:type="dxa"/>
            <w:noWrap w:val="0"/>
            <w:vAlign w:val="center"/>
          </w:tcPr>
          <w:p>
            <w:pPr>
              <w:jc w:val="left"/>
              <w:rPr>
                <w:rFonts w:hint="eastAsia" w:ascii="仿宋_GB2312" w:hAnsi="仿宋_GB2312" w:eastAsia="仿宋_GB2312" w:cs="仿宋_GB2312"/>
                <w:color w:val="000000"/>
                <w:szCs w:val="21"/>
                <w:lang w:eastAsia="zh-CN"/>
              </w:rPr>
            </w:pPr>
            <w:r>
              <w:rPr>
                <w:rFonts w:hint="eastAsia" w:ascii="仿宋_GB2312" w:hAnsi="仿宋_GB2312" w:eastAsia="仿宋_GB2312" w:cs="仿宋_GB2312"/>
                <w:color w:val="000000"/>
                <w:szCs w:val="21"/>
                <w:lang w:eastAsia="zh-CN"/>
              </w:rPr>
              <w:t>中国石油天然气股份有限公司湖南销售分公司长沙市洞井加油站</w:t>
            </w:r>
          </w:p>
        </w:tc>
        <w:tc>
          <w:tcPr>
            <w:tcW w:w="2540" w:type="dxa"/>
            <w:noWrap w:val="0"/>
            <w:vAlign w:val="center"/>
          </w:tcPr>
          <w:p>
            <w:pPr>
              <w:jc w:val="center"/>
              <w:rPr>
                <w:rFonts w:hint="eastAsia" w:ascii="仿宋_GB2312" w:hAnsi="仿宋_GB2312" w:eastAsia="仿宋_GB2312" w:cs="仿宋_GB2312"/>
                <w:color w:val="000000"/>
                <w:szCs w:val="21"/>
                <w:lang w:eastAsia="zh-CN"/>
              </w:rPr>
            </w:pPr>
            <w:r>
              <w:rPr>
                <w:rFonts w:hint="eastAsia" w:ascii="仿宋_GB2312" w:hAnsi="仿宋_GB2312" w:eastAsia="仿宋_GB2312" w:cs="仿宋_GB2312"/>
                <w:color w:val="000000"/>
                <w:szCs w:val="21"/>
                <w:lang w:val="en-US" w:eastAsia="zh-CN"/>
              </w:rPr>
              <w:t>易燃易爆场所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jc w:val="center"/>
        </w:trPr>
        <w:tc>
          <w:tcPr>
            <w:tcW w:w="904" w:type="dxa"/>
            <w:vMerge w:val="continue"/>
            <w:noWrap w:val="0"/>
            <w:vAlign w:val="center"/>
          </w:tcPr>
          <w:p>
            <w:pPr>
              <w:jc w:val="left"/>
            </w:pPr>
          </w:p>
        </w:tc>
        <w:tc>
          <w:tcPr>
            <w:tcW w:w="1088" w:type="dxa"/>
            <w:noWrap w:val="0"/>
            <w:vAlign w:val="center"/>
          </w:tcPr>
          <w:p>
            <w:pPr>
              <w:jc w:val="center"/>
              <w:rPr>
                <w:rFonts w:hint="default"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52</w:t>
            </w:r>
          </w:p>
        </w:tc>
        <w:tc>
          <w:tcPr>
            <w:tcW w:w="3990" w:type="dxa"/>
            <w:noWrap w:val="0"/>
            <w:vAlign w:val="center"/>
          </w:tcPr>
          <w:p>
            <w:pPr>
              <w:jc w:val="left"/>
              <w:rPr>
                <w:rFonts w:hint="eastAsia" w:ascii="仿宋_GB2312" w:hAnsi="仿宋_GB2312" w:eastAsia="仿宋_GB2312" w:cs="仿宋_GB2312"/>
                <w:color w:val="000000"/>
                <w:szCs w:val="21"/>
                <w:lang w:eastAsia="zh-CN"/>
              </w:rPr>
            </w:pPr>
            <w:r>
              <w:rPr>
                <w:rFonts w:hint="eastAsia" w:ascii="仿宋_GB2312" w:hAnsi="仿宋_GB2312" w:eastAsia="仿宋_GB2312" w:cs="仿宋_GB2312"/>
                <w:color w:val="000000"/>
                <w:szCs w:val="21"/>
                <w:lang w:eastAsia="zh-CN"/>
              </w:rPr>
              <w:t>中国石油化工股份有限公司湖南石油销售分公司李洞路加油站</w:t>
            </w:r>
          </w:p>
        </w:tc>
        <w:tc>
          <w:tcPr>
            <w:tcW w:w="2540" w:type="dxa"/>
            <w:noWrap w:val="0"/>
            <w:vAlign w:val="center"/>
          </w:tcPr>
          <w:p>
            <w:pPr>
              <w:jc w:val="center"/>
              <w:rPr>
                <w:rFonts w:hint="eastAsia" w:ascii="仿宋_GB2312" w:hAnsi="仿宋_GB2312" w:eastAsia="仿宋_GB2312" w:cs="仿宋_GB2312"/>
                <w:color w:val="000000"/>
                <w:szCs w:val="21"/>
                <w:lang w:eastAsia="zh-CN"/>
              </w:rPr>
            </w:pPr>
            <w:r>
              <w:rPr>
                <w:rFonts w:hint="eastAsia" w:ascii="仿宋_GB2312" w:hAnsi="仿宋_GB2312" w:eastAsia="仿宋_GB2312" w:cs="仿宋_GB2312"/>
                <w:color w:val="000000"/>
                <w:szCs w:val="21"/>
                <w:lang w:val="en-US" w:eastAsia="zh-CN"/>
              </w:rPr>
              <w:t>易燃易爆场所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jc w:val="center"/>
        </w:trPr>
        <w:tc>
          <w:tcPr>
            <w:tcW w:w="904" w:type="dxa"/>
            <w:vMerge w:val="continue"/>
            <w:noWrap w:val="0"/>
            <w:vAlign w:val="center"/>
          </w:tcPr>
          <w:p>
            <w:pPr>
              <w:jc w:val="left"/>
              <w:rPr>
                <w:rFonts w:hint="eastAsia" w:ascii="仿宋_GB2312" w:hAnsi="仿宋_GB2312" w:eastAsia="仿宋_GB2312" w:cs="仿宋_GB2312"/>
                <w:color w:val="000000"/>
                <w:szCs w:val="21"/>
                <w:lang w:eastAsia="zh-CN"/>
              </w:rPr>
            </w:pPr>
          </w:p>
        </w:tc>
        <w:tc>
          <w:tcPr>
            <w:tcW w:w="1088" w:type="dxa"/>
            <w:noWrap w:val="0"/>
            <w:vAlign w:val="center"/>
          </w:tcPr>
          <w:p>
            <w:pPr>
              <w:jc w:val="center"/>
              <w:rPr>
                <w:rFonts w:hint="default"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53</w:t>
            </w:r>
          </w:p>
        </w:tc>
        <w:tc>
          <w:tcPr>
            <w:tcW w:w="3990" w:type="dxa"/>
            <w:noWrap w:val="0"/>
            <w:vAlign w:val="center"/>
          </w:tcPr>
          <w:p>
            <w:pPr>
              <w:jc w:val="left"/>
              <w:rPr>
                <w:rFonts w:hint="eastAsia" w:ascii="仿宋_GB2312" w:hAnsi="仿宋_GB2312" w:eastAsia="仿宋_GB2312" w:cs="仿宋_GB2312"/>
                <w:color w:val="000000"/>
                <w:szCs w:val="21"/>
                <w:lang w:eastAsia="zh-CN"/>
              </w:rPr>
            </w:pPr>
            <w:r>
              <w:rPr>
                <w:rFonts w:hint="eastAsia" w:ascii="仿宋_GB2312" w:hAnsi="仿宋_GB2312" w:eastAsia="仿宋_GB2312" w:cs="仿宋_GB2312"/>
                <w:color w:val="000000"/>
                <w:szCs w:val="21"/>
                <w:lang w:eastAsia="zh-CN"/>
              </w:rPr>
              <w:t>中国石油化工股份有限公司湖南长沙东山二加油站</w:t>
            </w:r>
          </w:p>
        </w:tc>
        <w:tc>
          <w:tcPr>
            <w:tcW w:w="2540" w:type="dxa"/>
            <w:noWrap w:val="0"/>
            <w:vAlign w:val="center"/>
          </w:tcPr>
          <w:p>
            <w:pPr>
              <w:jc w:val="center"/>
              <w:rPr>
                <w:rFonts w:hint="eastAsia" w:ascii="仿宋_GB2312" w:hAnsi="仿宋_GB2312" w:eastAsia="仿宋_GB2312" w:cs="仿宋_GB2312"/>
                <w:color w:val="000000"/>
                <w:szCs w:val="21"/>
                <w:lang w:eastAsia="zh-CN"/>
              </w:rPr>
            </w:pPr>
            <w:r>
              <w:rPr>
                <w:rFonts w:hint="eastAsia" w:ascii="仿宋_GB2312" w:hAnsi="仿宋_GB2312" w:eastAsia="仿宋_GB2312" w:cs="仿宋_GB2312"/>
                <w:color w:val="000000"/>
                <w:szCs w:val="21"/>
                <w:lang w:val="en-US" w:eastAsia="zh-CN"/>
              </w:rPr>
              <w:t>易燃易爆场所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jc w:val="center"/>
        </w:trPr>
        <w:tc>
          <w:tcPr>
            <w:tcW w:w="904" w:type="dxa"/>
            <w:vMerge w:val="continue"/>
            <w:noWrap w:val="0"/>
            <w:vAlign w:val="center"/>
          </w:tcPr>
          <w:p>
            <w:pPr>
              <w:jc w:val="left"/>
              <w:rPr>
                <w:rFonts w:hint="eastAsia" w:ascii="仿宋_GB2312" w:hAnsi="仿宋_GB2312" w:eastAsia="仿宋_GB2312" w:cs="仿宋_GB2312"/>
                <w:color w:val="000000"/>
                <w:szCs w:val="21"/>
                <w:lang w:eastAsia="zh-CN"/>
              </w:rPr>
            </w:pPr>
          </w:p>
        </w:tc>
        <w:tc>
          <w:tcPr>
            <w:tcW w:w="1088" w:type="dxa"/>
            <w:noWrap w:val="0"/>
            <w:vAlign w:val="center"/>
          </w:tcPr>
          <w:p>
            <w:pPr>
              <w:jc w:val="center"/>
              <w:rPr>
                <w:rFonts w:hint="default"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54</w:t>
            </w:r>
          </w:p>
        </w:tc>
        <w:tc>
          <w:tcPr>
            <w:tcW w:w="3990" w:type="dxa"/>
            <w:noWrap w:val="0"/>
            <w:vAlign w:val="center"/>
          </w:tcPr>
          <w:p>
            <w:pPr>
              <w:jc w:val="left"/>
              <w:rPr>
                <w:rFonts w:hint="eastAsia" w:ascii="仿宋_GB2312" w:hAnsi="仿宋_GB2312" w:eastAsia="仿宋_GB2312" w:cs="仿宋_GB2312"/>
                <w:color w:val="000000"/>
                <w:szCs w:val="21"/>
                <w:lang w:eastAsia="zh-CN"/>
              </w:rPr>
            </w:pPr>
            <w:r>
              <w:rPr>
                <w:rFonts w:hint="eastAsia" w:ascii="仿宋_GB2312" w:hAnsi="仿宋_GB2312" w:eastAsia="仿宋_GB2312" w:cs="仿宋_GB2312"/>
                <w:color w:val="000000"/>
                <w:szCs w:val="21"/>
                <w:lang w:eastAsia="zh-CN"/>
              </w:rPr>
              <w:t>中国石油化工股份有限公司湖南长沙奎塘加油站</w:t>
            </w:r>
          </w:p>
        </w:tc>
        <w:tc>
          <w:tcPr>
            <w:tcW w:w="2540" w:type="dxa"/>
            <w:noWrap w:val="0"/>
            <w:vAlign w:val="center"/>
          </w:tcPr>
          <w:p>
            <w:pPr>
              <w:jc w:val="center"/>
              <w:rPr>
                <w:rFonts w:hint="eastAsia" w:ascii="仿宋_GB2312" w:hAnsi="仿宋_GB2312" w:eastAsia="仿宋_GB2312" w:cs="仿宋_GB2312"/>
                <w:color w:val="000000"/>
                <w:szCs w:val="21"/>
                <w:lang w:eastAsia="zh-CN"/>
              </w:rPr>
            </w:pPr>
            <w:r>
              <w:rPr>
                <w:rFonts w:hint="eastAsia" w:ascii="仿宋_GB2312" w:hAnsi="仿宋_GB2312" w:eastAsia="仿宋_GB2312" w:cs="仿宋_GB2312"/>
                <w:color w:val="000000"/>
                <w:szCs w:val="21"/>
                <w:lang w:val="en-US" w:eastAsia="zh-CN"/>
              </w:rPr>
              <w:t>易燃易爆场所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jc w:val="center"/>
        </w:trPr>
        <w:tc>
          <w:tcPr>
            <w:tcW w:w="904" w:type="dxa"/>
            <w:vMerge w:val="continue"/>
            <w:noWrap w:val="0"/>
            <w:vAlign w:val="center"/>
          </w:tcPr>
          <w:p>
            <w:pPr>
              <w:jc w:val="left"/>
              <w:rPr>
                <w:rFonts w:hint="eastAsia" w:ascii="仿宋_GB2312" w:hAnsi="仿宋_GB2312" w:eastAsia="仿宋_GB2312" w:cs="仿宋_GB2312"/>
                <w:color w:val="000000"/>
                <w:szCs w:val="21"/>
                <w:lang w:eastAsia="zh-CN"/>
              </w:rPr>
            </w:pPr>
          </w:p>
        </w:tc>
        <w:tc>
          <w:tcPr>
            <w:tcW w:w="1088" w:type="dxa"/>
            <w:noWrap w:val="0"/>
            <w:vAlign w:val="center"/>
          </w:tcPr>
          <w:p>
            <w:pPr>
              <w:jc w:val="center"/>
              <w:rPr>
                <w:rFonts w:hint="default"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55</w:t>
            </w:r>
          </w:p>
        </w:tc>
        <w:tc>
          <w:tcPr>
            <w:tcW w:w="3990" w:type="dxa"/>
            <w:noWrap w:val="0"/>
            <w:vAlign w:val="top"/>
          </w:tcPr>
          <w:p>
            <w:pPr>
              <w:jc w:val="left"/>
              <w:rPr>
                <w:rFonts w:hint="eastAsia" w:ascii="仿宋_GB2312" w:hAnsi="仿宋_GB2312" w:eastAsia="仿宋_GB2312" w:cs="仿宋_GB2312"/>
                <w:color w:val="000000"/>
                <w:szCs w:val="21"/>
                <w:lang w:eastAsia="zh-CN"/>
              </w:rPr>
            </w:pPr>
            <w:r>
              <w:rPr>
                <w:rFonts w:hint="eastAsia" w:ascii="仿宋_GB2312" w:hAnsi="仿宋_GB2312" w:eastAsia="仿宋_GB2312" w:cs="仿宋_GB2312"/>
                <w:color w:val="000000"/>
                <w:szCs w:val="21"/>
                <w:lang w:eastAsia="zh-CN"/>
              </w:rPr>
              <w:t>中国石油化工股份有限公司湖南长沙火星一加油站</w:t>
            </w:r>
          </w:p>
        </w:tc>
        <w:tc>
          <w:tcPr>
            <w:tcW w:w="2540" w:type="dxa"/>
            <w:noWrap w:val="0"/>
            <w:vAlign w:val="center"/>
          </w:tcPr>
          <w:p>
            <w:pPr>
              <w:jc w:val="center"/>
              <w:rPr>
                <w:rFonts w:hint="eastAsia" w:ascii="仿宋_GB2312" w:hAnsi="仿宋_GB2312" w:eastAsia="仿宋_GB2312" w:cs="仿宋_GB2312"/>
                <w:color w:val="000000"/>
                <w:szCs w:val="21"/>
                <w:lang w:eastAsia="zh-CN"/>
              </w:rPr>
            </w:pPr>
            <w:r>
              <w:rPr>
                <w:rFonts w:hint="eastAsia" w:ascii="仿宋_GB2312" w:hAnsi="仿宋_GB2312" w:eastAsia="仿宋_GB2312" w:cs="仿宋_GB2312"/>
                <w:color w:val="000000"/>
                <w:szCs w:val="21"/>
                <w:lang w:val="en-US" w:eastAsia="zh-CN"/>
              </w:rPr>
              <w:t>易燃易爆场所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jc w:val="center"/>
        </w:trPr>
        <w:tc>
          <w:tcPr>
            <w:tcW w:w="904" w:type="dxa"/>
            <w:vMerge w:val="restart"/>
            <w:noWrap w:val="0"/>
            <w:vAlign w:val="center"/>
          </w:tcPr>
          <w:p>
            <w:pPr>
              <w:jc w:val="center"/>
              <w:rPr>
                <w:rFonts w:hint="eastAsia" w:ascii="方正小标宋简体" w:hAnsi="方正小标宋简体" w:eastAsia="方正小标宋简体" w:cs="方正小标宋简体"/>
                <w:color w:val="000000"/>
                <w:sz w:val="36"/>
                <w:szCs w:val="36"/>
                <w:vertAlign w:val="baseline"/>
              </w:rPr>
            </w:pPr>
            <w:r>
              <w:rPr>
                <w:rFonts w:hint="eastAsia" w:ascii="仿宋_GB2312" w:hAnsi="仿宋_GB2312" w:eastAsia="仿宋_GB2312" w:cs="仿宋_GB2312"/>
                <w:color w:val="000000"/>
                <w:szCs w:val="21"/>
              </w:rPr>
              <w:t>十</w:t>
            </w:r>
            <w:r>
              <w:rPr>
                <w:rFonts w:hint="eastAsia" w:ascii="仿宋_GB2312" w:hAnsi="仿宋_GB2312" w:eastAsia="仿宋_GB2312" w:cs="仿宋_GB2312"/>
                <w:color w:val="000000"/>
                <w:szCs w:val="21"/>
                <w:lang w:eastAsia="zh-CN"/>
              </w:rPr>
              <w:t>二</w:t>
            </w:r>
            <w:r>
              <w:rPr>
                <w:rFonts w:hint="eastAsia" w:ascii="仿宋_GB2312" w:hAnsi="仿宋_GB2312" w:eastAsia="仿宋_GB2312" w:cs="仿宋_GB2312"/>
                <w:color w:val="000000"/>
                <w:szCs w:val="21"/>
              </w:rPr>
              <w:t>月</w:t>
            </w:r>
          </w:p>
        </w:tc>
        <w:tc>
          <w:tcPr>
            <w:tcW w:w="1088" w:type="dxa"/>
            <w:noWrap w:val="0"/>
            <w:vAlign w:val="center"/>
          </w:tcPr>
          <w:p>
            <w:pPr>
              <w:jc w:val="center"/>
              <w:rPr>
                <w:rFonts w:hint="default"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56</w:t>
            </w:r>
          </w:p>
        </w:tc>
        <w:tc>
          <w:tcPr>
            <w:tcW w:w="3990" w:type="dxa"/>
            <w:noWrap w:val="0"/>
            <w:vAlign w:val="top"/>
          </w:tcPr>
          <w:p>
            <w:pPr>
              <w:jc w:val="left"/>
              <w:rPr>
                <w:rFonts w:hint="default"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湖南五力工程检测公司</w:t>
            </w:r>
          </w:p>
        </w:tc>
        <w:tc>
          <w:tcPr>
            <w:tcW w:w="2540" w:type="dxa"/>
            <w:noWrap w:val="0"/>
            <w:vAlign w:val="center"/>
          </w:tcPr>
          <w:p>
            <w:pPr>
              <w:jc w:val="center"/>
              <w:rPr>
                <w:rFonts w:hint="eastAsia" w:ascii="仿宋_GB2312" w:hAnsi="仿宋_GB2312" w:eastAsia="仿宋_GB2312" w:cs="仿宋_GB2312"/>
                <w:color w:val="000000"/>
                <w:szCs w:val="21"/>
                <w:lang w:eastAsia="zh-CN"/>
              </w:rPr>
            </w:pPr>
            <w:r>
              <w:rPr>
                <w:rFonts w:hint="eastAsia" w:ascii="仿宋_GB2312" w:hAnsi="仿宋_GB2312" w:eastAsia="仿宋_GB2312" w:cs="仿宋_GB2312"/>
                <w:color w:val="000000"/>
                <w:szCs w:val="21"/>
                <w:lang w:val="en-US" w:eastAsia="zh-CN"/>
              </w:rPr>
              <w:t>检测机构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jc w:val="center"/>
        </w:trPr>
        <w:tc>
          <w:tcPr>
            <w:tcW w:w="904" w:type="dxa"/>
            <w:vMerge w:val="continue"/>
            <w:noWrap w:val="0"/>
            <w:vAlign w:val="center"/>
          </w:tcPr>
          <w:p>
            <w:pPr>
              <w:jc w:val="left"/>
            </w:pPr>
          </w:p>
        </w:tc>
        <w:tc>
          <w:tcPr>
            <w:tcW w:w="1088" w:type="dxa"/>
            <w:noWrap w:val="0"/>
            <w:vAlign w:val="center"/>
          </w:tcPr>
          <w:p>
            <w:pPr>
              <w:jc w:val="center"/>
              <w:rPr>
                <w:rFonts w:hint="default"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57</w:t>
            </w:r>
          </w:p>
        </w:tc>
        <w:tc>
          <w:tcPr>
            <w:tcW w:w="3990" w:type="dxa"/>
            <w:noWrap w:val="0"/>
            <w:vAlign w:val="top"/>
          </w:tcPr>
          <w:p>
            <w:pPr>
              <w:jc w:val="left"/>
              <w:rPr>
                <w:rFonts w:hint="eastAsia" w:ascii="仿宋_GB2312" w:hAnsi="仿宋_GB2312" w:eastAsia="仿宋_GB2312" w:cs="仿宋_GB2312"/>
                <w:color w:val="000000"/>
                <w:szCs w:val="21"/>
                <w:lang w:eastAsia="zh-CN"/>
              </w:rPr>
            </w:pPr>
            <w:r>
              <w:rPr>
                <w:rFonts w:hint="eastAsia" w:ascii="仿宋_GB2312" w:hAnsi="仿宋_GB2312" w:eastAsia="仿宋_GB2312" w:cs="仿宋_GB2312"/>
                <w:color w:val="000000"/>
                <w:szCs w:val="21"/>
                <w:lang w:eastAsia="zh-CN"/>
              </w:rPr>
              <w:t>湖南祥云克雷科技有限公司</w:t>
            </w:r>
          </w:p>
        </w:tc>
        <w:tc>
          <w:tcPr>
            <w:tcW w:w="2540" w:type="dxa"/>
            <w:noWrap w:val="0"/>
            <w:vAlign w:val="center"/>
          </w:tcPr>
          <w:p>
            <w:pPr>
              <w:jc w:val="center"/>
              <w:rPr>
                <w:rFonts w:hint="eastAsia" w:ascii="仿宋_GB2312" w:hAnsi="仿宋_GB2312" w:eastAsia="仿宋_GB2312" w:cs="仿宋_GB2312"/>
                <w:color w:val="000000"/>
                <w:szCs w:val="21"/>
                <w:lang w:eastAsia="zh-CN"/>
              </w:rPr>
            </w:pPr>
            <w:r>
              <w:rPr>
                <w:rFonts w:hint="eastAsia" w:ascii="仿宋_GB2312" w:hAnsi="仿宋_GB2312" w:eastAsia="仿宋_GB2312" w:cs="仿宋_GB2312"/>
                <w:color w:val="000000"/>
                <w:szCs w:val="21"/>
                <w:lang w:val="en-US" w:eastAsia="zh-CN"/>
              </w:rPr>
              <w:t>检测机构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jc w:val="center"/>
        </w:trPr>
        <w:tc>
          <w:tcPr>
            <w:tcW w:w="904" w:type="dxa"/>
            <w:vMerge w:val="continue"/>
            <w:noWrap w:val="0"/>
            <w:vAlign w:val="center"/>
          </w:tcPr>
          <w:p>
            <w:pPr>
              <w:jc w:val="left"/>
              <w:rPr>
                <w:rFonts w:hint="eastAsia" w:ascii="仿宋_GB2312" w:hAnsi="仿宋_GB2312" w:eastAsia="仿宋_GB2312" w:cs="仿宋_GB2312"/>
                <w:color w:val="000000"/>
                <w:szCs w:val="21"/>
                <w:lang w:eastAsia="zh-CN"/>
              </w:rPr>
            </w:pPr>
          </w:p>
        </w:tc>
        <w:tc>
          <w:tcPr>
            <w:tcW w:w="1088" w:type="dxa"/>
            <w:noWrap w:val="0"/>
            <w:vAlign w:val="center"/>
          </w:tcPr>
          <w:p>
            <w:pPr>
              <w:jc w:val="center"/>
              <w:rPr>
                <w:rFonts w:hint="default"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58</w:t>
            </w:r>
          </w:p>
        </w:tc>
        <w:tc>
          <w:tcPr>
            <w:tcW w:w="3990" w:type="dxa"/>
            <w:noWrap w:val="0"/>
            <w:vAlign w:val="top"/>
          </w:tcPr>
          <w:p>
            <w:pPr>
              <w:jc w:val="left"/>
              <w:rPr>
                <w:rFonts w:hint="eastAsia" w:ascii="仿宋_GB2312" w:hAnsi="仿宋_GB2312" w:eastAsia="仿宋_GB2312" w:cs="仿宋_GB2312"/>
                <w:color w:val="000000"/>
                <w:szCs w:val="21"/>
                <w:lang w:eastAsia="zh-CN"/>
              </w:rPr>
            </w:pPr>
            <w:r>
              <w:rPr>
                <w:rFonts w:hint="eastAsia" w:ascii="仿宋_GB2312" w:hAnsi="仿宋_GB2312" w:eastAsia="仿宋_GB2312" w:cs="仿宋_GB2312"/>
                <w:color w:val="000000"/>
                <w:szCs w:val="21"/>
                <w:lang w:eastAsia="zh-CN"/>
              </w:rPr>
              <w:t>湖南业鑫通信技术有限公司</w:t>
            </w:r>
          </w:p>
        </w:tc>
        <w:tc>
          <w:tcPr>
            <w:tcW w:w="2540" w:type="dxa"/>
            <w:noWrap w:val="0"/>
            <w:vAlign w:val="center"/>
          </w:tcPr>
          <w:p>
            <w:pPr>
              <w:jc w:val="center"/>
              <w:rPr>
                <w:rFonts w:hint="eastAsia" w:ascii="仿宋_GB2312" w:hAnsi="仿宋_GB2312" w:eastAsia="仿宋_GB2312" w:cs="仿宋_GB2312"/>
                <w:color w:val="000000"/>
                <w:szCs w:val="21"/>
                <w:lang w:eastAsia="zh-CN"/>
              </w:rPr>
            </w:pPr>
            <w:r>
              <w:rPr>
                <w:rFonts w:hint="eastAsia" w:ascii="仿宋_GB2312" w:hAnsi="仿宋_GB2312" w:eastAsia="仿宋_GB2312" w:cs="仿宋_GB2312"/>
                <w:color w:val="000000"/>
                <w:szCs w:val="21"/>
                <w:lang w:val="en-US" w:eastAsia="zh-CN"/>
              </w:rPr>
              <w:t>检测机构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jc w:val="center"/>
        </w:trPr>
        <w:tc>
          <w:tcPr>
            <w:tcW w:w="904" w:type="dxa"/>
            <w:vMerge w:val="continue"/>
            <w:noWrap w:val="0"/>
            <w:vAlign w:val="center"/>
          </w:tcPr>
          <w:p>
            <w:pPr>
              <w:jc w:val="left"/>
              <w:rPr>
                <w:rFonts w:hint="eastAsia" w:ascii="仿宋_GB2312" w:hAnsi="仿宋_GB2312" w:eastAsia="仿宋_GB2312" w:cs="仿宋_GB2312"/>
                <w:color w:val="000000"/>
                <w:szCs w:val="21"/>
                <w:lang w:eastAsia="zh-CN"/>
              </w:rPr>
            </w:pPr>
          </w:p>
        </w:tc>
        <w:tc>
          <w:tcPr>
            <w:tcW w:w="1088" w:type="dxa"/>
            <w:noWrap w:val="0"/>
            <w:vAlign w:val="center"/>
          </w:tcPr>
          <w:p>
            <w:pPr>
              <w:jc w:val="center"/>
              <w:rPr>
                <w:rFonts w:hint="default"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59</w:t>
            </w:r>
          </w:p>
        </w:tc>
        <w:tc>
          <w:tcPr>
            <w:tcW w:w="3990" w:type="dxa"/>
            <w:noWrap w:val="0"/>
            <w:vAlign w:val="top"/>
          </w:tcPr>
          <w:p>
            <w:pPr>
              <w:jc w:val="left"/>
              <w:rPr>
                <w:rFonts w:hint="eastAsia" w:ascii="仿宋_GB2312" w:hAnsi="仿宋_GB2312" w:eastAsia="仿宋_GB2312" w:cs="仿宋_GB2312"/>
                <w:color w:val="000000"/>
                <w:szCs w:val="21"/>
                <w:lang w:eastAsia="zh-CN"/>
              </w:rPr>
            </w:pPr>
            <w:r>
              <w:rPr>
                <w:rFonts w:hint="eastAsia" w:ascii="仿宋_GB2312" w:hAnsi="仿宋_GB2312" w:eastAsia="仿宋_GB2312" w:cs="仿宋_GB2312"/>
                <w:color w:val="000000"/>
                <w:szCs w:val="21"/>
                <w:lang w:eastAsia="zh-CN"/>
              </w:rPr>
              <w:t>湖南兴安检测服务有限公司</w:t>
            </w:r>
          </w:p>
        </w:tc>
        <w:tc>
          <w:tcPr>
            <w:tcW w:w="2540" w:type="dxa"/>
            <w:noWrap w:val="0"/>
            <w:vAlign w:val="center"/>
          </w:tcPr>
          <w:p>
            <w:pPr>
              <w:jc w:val="center"/>
              <w:rPr>
                <w:rFonts w:hint="eastAsia" w:ascii="仿宋_GB2312" w:hAnsi="仿宋_GB2312" w:eastAsia="仿宋_GB2312" w:cs="仿宋_GB2312"/>
                <w:color w:val="000000"/>
                <w:szCs w:val="21"/>
                <w:lang w:eastAsia="zh-CN"/>
              </w:rPr>
            </w:pPr>
            <w:r>
              <w:rPr>
                <w:rFonts w:hint="eastAsia" w:ascii="仿宋_GB2312" w:hAnsi="仿宋_GB2312" w:eastAsia="仿宋_GB2312" w:cs="仿宋_GB2312"/>
                <w:color w:val="000000"/>
                <w:szCs w:val="21"/>
                <w:lang w:val="en-US" w:eastAsia="zh-CN"/>
              </w:rPr>
              <w:t>检测机构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jc w:val="center"/>
        </w:trPr>
        <w:tc>
          <w:tcPr>
            <w:tcW w:w="904" w:type="dxa"/>
            <w:vMerge w:val="continue"/>
            <w:noWrap w:val="0"/>
            <w:vAlign w:val="center"/>
          </w:tcPr>
          <w:p>
            <w:pPr>
              <w:jc w:val="left"/>
              <w:rPr>
                <w:rFonts w:hint="eastAsia" w:ascii="仿宋_GB2312" w:hAnsi="仿宋_GB2312" w:eastAsia="仿宋_GB2312" w:cs="仿宋_GB2312"/>
                <w:color w:val="000000"/>
                <w:szCs w:val="21"/>
                <w:lang w:eastAsia="zh-CN"/>
              </w:rPr>
            </w:pPr>
          </w:p>
        </w:tc>
        <w:tc>
          <w:tcPr>
            <w:tcW w:w="1088" w:type="dxa"/>
            <w:noWrap w:val="0"/>
            <w:vAlign w:val="center"/>
          </w:tcPr>
          <w:p>
            <w:pPr>
              <w:jc w:val="center"/>
              <w:rPr>
                <w:rFonts w:hint="default"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60</w:t>
            </w:r>
          </w:p>
        </w:tc>
        <w:tc>
          <w:tcPr>
            <w:tcW w:w="3990" w:type="dxa"/>
            <w:noWrap w:val="0"/>
            <w:vAlign w:val="top"/>
          </w:tcPr>
          <w:p>
            <w:pPr>
              <w:jc w:val="left"/>
              <w:rPr>
                <w:rFonts w:hint="eastAsia" w:ascii="仿宋_GB2312" w:hAnsi="仿宋_GB2312" w:eastAsia="仿宋_GB2312" w:cs="仿宋_GB2312"/>
                <w:color w:val="000000"/>
                <w:szCs w:val="21"/>
                <w:lang w:eastAsia="zh-CN"/>
              </w:rPr>
            </w:pPr>
            <w:r>
              <w:rPr>
                <w:rFonts w:hint="eastAsia" w:ascii="仿宋_GB2312" w:hAnsi="仿宋_GB2312" w:eastAsia="仿宋_GB2312" w:cs="仿宋_GB2312"/>
                <w:color w:val="000000"/>
                <w:szCs w:val="21"/>
                <w:lang w:eastAsia="zh-CN"/>
              </w:rPr>
              <w:t>湖南坤雷检测有限公司</w:t>
            </w:r>
          </w:p>
        </w:tc>
        <w:tc>
          <w:tcPr>
            <w:tcW w:w="2540" w:type="dxa"/>
            <w:noWrap w:val="0"/>
            <w:vAlign w:val="center"/>
          </w:tcPr>
          <w:p>
            <w:pPr>
              <w:jc w:val="center"/>
              <w:rPr>
                <w:rFonts w:hint="eastAsia" w:ascii="仿宋_GB2312" w:hAnsi="仿宋_GB2312" w:eastAsia="仿宋_GB2312" w:cs="仿宋_GB2312"/>
                <w:color w:val="000000"/>
                <w:szCs w:val="21"/>
                <w:lang w:eastAsia="zh-CN"/>
              </w:rPr>
            </w:pPr>
            <w:r>
              <w:rPr>
                <w:rFonts w:hint="eastAsia" w:ascii="仿宋_GB2312" w:hAnsi="仿宋_GB2312" w:eastAsia="仿宋_GB2312" w:cs="仿宋_GB2312"/>
                <w:color w:val="000000"/>
                <w:szCs w:val="21"/>
                <w:lang w:val="en-US" w:eastAsia="zh-CN"/>
              </w:rPr>
              <w:t>检测机构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4" w:type="dxa"/>
            <w:noWrap w:val="0"/>
            <w:vAlign w:val="center"/>
          </w:tcPr>
          <w:p>
            <w:pPr>
              <w:jc w:val="center"/>
              <w:rPr>
                <w:rFonts w:hint="eastAsia" w:ascii="仿宋_GB2312" w:hAnsi="仿宋_GB2312" w:eastAsia="仿宋_GB2312" w:cs="仿宋_GB2312"/>
                <w:color w:val="000000"/>
                <w:szCs w:val="21"/>
                <w:lang w:eastAsia="zh-CN"/>
              </w:rPr>
            </w:pPr>
            <w:r>
              <w:rPr>
                <w:rFonts w:hint="eastAsia" w:ascii="仿宋_GB2312" w:hAnsi="仿宋_GB2312" w:eastAsia="仿宋_GB2312" w:cs="仿宋_GB2312"/>
                <w:color w:val="000000"/>
                <w:szCs w:val="21"/>
                <w:lang w:eastAsia="zh-CN"/>
              </w:rPr>
              <w:t>合计</w:t>
            </w:r>
          </w:p>
        </w:tc>
        <w:tc>
          <w:tcPr>
            <w:tcW w:w="7618" w:type="dxa"/>
            <w:gridSpan w:val="3"/>
            <w:noWrap w:val="0"/>
            <w:vAlign w:val="top"/>
          </w:tcPr>
          <w:p>
            <w:pPr>
              <w:jc w:val="left"/>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60</w:t>
            </w:r>
          </w:p>
        </w:tc>
      </w:tr>
    </w:tbl>
    <w:p>
      <w:pPr>
        <w:rPr>
          <w:rFonts w:hint="default" w:eastAsia="宋体"/>
          <w:lang w:val="en-US" w:eastAsia="zh-CN"/>
        </w:rPr>
      </w:pPr>
      <w:r>
        <w:rPr>
          <w:rFonts w:hint="eastAsia"/>
          <w:lang w:eastAsia="zh-CN"/>
        </w:rPr>
        <w:t>单位性质：</w:t>
      </w:r>
      <w:r>
        <w:rPr>
          <w:rFonts w:hint="eastAsia"/>
          <w:lang w:val="en-US" w:eastAsia="zh-CN"/>
        </w:rPr>
        <w:t>1、易燃易爆场所2、检测机构3、旅游景点4、人员密集场所</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60"/>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rPr>
                              <w:rStyle w:val="6"/>
                              <w:rFonts w:hint="eastAsia" w:cs="宋体"/>
                              <w:sz w:val="24"/>
                              <w:szCs w:val="24"/>
                            </w:rPr>
                          </w:pPr>
                          <w:r>
                            <w:rPr>
                              <w:rFonts w:hint="eastAsia" w:cs="宋体"/>
                              <w:sz w:val="24"/>
                              <w:szCs w:val="24"/>
                            </w:rPr>
                            <w:fldChar w:fldCharType="begin"/>
                          </w:r>
                          <w:r>
                            <w:rPr>
                              <w:rStyle w:val="6"/>
                              <w:rFonts w:hint="eastAsia" w:cs="宋体"/>
                              <w:sz w:val="24"/>
                              <w:szCs w:val="24"/>
                            </w:rPr>
                            <w:instrText xml:space="preserve">PAGE  </w:instrText>
                          </w:r>
                          <w:r>
                            <w:rPr>
                              <w:rFonts w:hint="eastAsia" w:cs="宋体"/>
                              <w:sz w:val="24"/>
                              <w:szCs w:val="24"/>
                            </w:rPr>
                            <w:fldChar w:fldCharType="separate"/>
                          </w:r>
                          <w:r>
                            <w:rPr>
                              <w:rStyle w:val="6"/>
                              <w:rFonts w:cs="宋体"/>
                              <w:sz w:val="24"/>
                              <w:szCs w:val="24"/>
                            </w:rPr>
                            <w:t>- 22 -</w:t>
                          </w:r>
                          <w:r>
                            <w:rPr>
                              <w:rFonts w:hint="eastAsia" w:cs="宋体"/>
                              <w:sz w:val="24"/>
                              <w:szCs w:val="24"/>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2"/>
                      <w:rPr>
                        <w:rStyle w:val="6"/>
                        <w:rFonts w:hint="eastAsia" w:cs="宋体"/>
                        <w:sz w:val="24"/>
                        <w:szCs w:val="24"/>
                      </w:rPr>
                    </w:pPr>
                    <w:r>
                      <w:rPr>
                        <w:rFonts w:hint="eastAsia" w:cs="宋体"/>
                        <w:sz w:val="24"/>
                        <w:szCs w:val="24"/>
                      </w:rPr>
                      <w:fldChar w:fldCharType="begin"/>
                    </w:r>
                    <w:r>
                      <w:rPr>
                        <w:rStyle w:val="6"/>
                        <w:rFonts w:hint="eastAsia" w:cs="宋体"/>
                        <w:sz w:val="24"/>
                        <w:szCs w:val="24"/>
                      </w:rPr>
                      <w:instrText xml:space="preserve">PAGE  </w:instrText>
                    </w:r>
                    <w:r>
                      <w:rPr>
                        <w:rFonts w:hint="eastAsia" w:cs="宋体"/>
                        <w:sz w:val="24"/>
                        <w:szCs w:val="24"/>
                      </w:rPr>
                      <w:fldChar w:fldCharType="separate"/>
                    </w:r>
                    <w:r>
                      <w:rPr>
                        <w:rStyle w:val="6"/>
                        <w:rFonts w:cs="宋体"/>
                        <w:sz w:val="24"/>
                        <w:szCs w:val="24"/>
                      </w:rPr>
                      <w:t>- 22 -</w:t>
                    </w:r>
                    <w:r>
                      <w:rPr>
                        <w:rFonts w:hint="eastAsia" w:cs="宋体"/>
                        <w:sz w:val="24"/>
                        <w:szCs w:val="24"/>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6C1D2E"/>
    <w:rsid w:val="02955D9C"/>
    <w:rsid w:val="037A11CE"/>
    <w:rsid w:val="0A836BAE"/>
    <w:rsid w:val="10F27CB6"/>
    <w:rsid w:val="149C458F"/>
    <w:rsid w:val="1AA87F1A"/>
    <w:rsid w:val="1EE9381C"/>
    <w:rsid w:val="23061820"/>
    <w:rsid w:val="28F55261"/>
    <w:rsid w:val="2A85411A"/>
    <w:rsid w:val="39421608"/>
    <w:rsid w:val="3C466A4E"/>
    <w:rsid w:val="3EB8778B"/>
    <w:rsid w:val="50A8510C"/>
    <w:rsid w:val="50BA0C27"/>
    <w:rsid w:val="560212EA"/>
    <w:rsid w:val="5E917E4F"/>
    <w:rsid w:val="66DF6092"/>
    <w:rsid w:val="68C950EA"/>
    <w:rsid w:val="6ACF3554"/>
    <w:rsid w:val="6C1244A9"/>
    <w:rsid w:val="6CF728A9"/>
    <w:rsid w:val="70116DF1"/>
    <w:rsid w:val="72876259"/>
    <w:rsid w:val="73DD223B"/>
    <w:rsid w:val="7D875E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
    <w:name w:val="page number"/>
    <w:basedOn w:val="5"/>
    <w:qFormat/>
    <w:uiPriority w:val="0"/>
  </w:style>
  <w:style w:type="paragraph" w:customStyle="1" w:styleId="7">
    <w:name w:val="p0"/>
    <w:basedOn w:val="1"/>
    <w:qFormat/>
    <w:uiPriority w:val="99"/>
    <w:pPr>
      <w:widowControl/>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2020-03-30T08:49:00Z</dcterms:created>
  <dc:creator>Administrator</dc:creator>
  <cp:lastModifiedBy>陈佳赓</cp:lastModifiedBy>
  <cp:lastPrinted>2022-03-10T07:45:29Z</cp:lastPrinted>
  <dcterms:modified xsi:type="dcterms:W3CDTF">2022-03-10T07:45:52Z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8E0AC7F2877C429FB2E276B9020F513E</vt:lpwstr>
  </property>
</Properties>
</file>