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auto"/>
          <w:sz w:val="44"/>
          <w:szCs w:val="44"/>
          <w:lang w:eastAsia="zh-CN"/>
        </w:rPr>
      </w:pPr>
    </w:p>
    <w:p>
      <w:pPr>
        <w:spacing w:line="560" w:lineRule="exact"/>
        <w:jc w:val="center"/>
        <w:rPr>
          <w:rFonts w:ascii="方正小标宋简体" w:hAnsi="方正小标宋简体" w:eastAsia="方正小标宋简体" w:cs="方正小标宋简体"/>
          <w:bCs/>
          <w:color w:val="auto"/>
          <w:sz w:val="44"/>
          <w:szCs w:val="44"/>
          <w:lang w:eastAsia="zh-CN"/>
        </w:rPr>
      </w:pPr>
      <w:r>
        <w:rPr>
          <w:rFonts w:hint="eastAsia" w:ascii="方正小标宋简体" w:hAnsi="方正小标宋简体" w:eastAsia="方正小标宋简体" w:cs="方正小标宋简体"/>
          <w:bCs/>
          <w:color w:val="auto"/>
          <w:sz w:val="44"/>
          <w:szCs w:val="44"/>
          <w:lang w:eastAsia="zh-CN"/>
        </w:rPr>
        <w:t>张家界市气象局2023年“谁执法谁普法”任务清单</w:t>
      </w:r>
    </w:p>
    <w:p>
      <w:pPr>
        <w:pStyle w:val="2"/>
        <w:rPr>
          <w:bCs/>
          <w:lang w:eastAsia="zh-CN"/>
        </w:rPr>
      </w:pPr>
    </w:p>
    <w:tbl>
      <w:tblPr>
        <w:tblStyle w:val="6"/>
        <w:tblW w:w="12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790"/>
        <w:gridCol w:w="933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Align w:val="center"/>
          </w:tcPr>
          <w:p>
            <w:pPr>
              <w:spacing w:line="560" w:lineRule="exact"/>
              <w:jc w:val="center"/>
              <w:rPr>
                <w:rFonts w:ascii="仿宋_GB2312" w:hAnsi="仿宋" w:eastAsia="仿宋_GB2312" w:cs="宋体"/>
                <w:bCs/>
                <w:lang w:eastAsia="zh-CN"/>
              </w:rPr>
            </w:pPr>
            <w:r>
              <w:rPr>
                <w:rFonts w:hint="eastAsia" w:ascii="仿宋_GB2312" w:hAnsi="仿宋" w:eastAsia="仿宋_GB2312" w:cs="宋体"/>
                <w:bCs/>
                <w:lang w:eastAsia="zh-CN"/>
              </w:rPr>
              <w:t>项目指标</w:t>
            </w:r>
          </w:p>
        </w:tc>
        <w:tc>
          <w:tcPr>
            <w:tcW w:w="790" w:type="dxa"/>
            <w:vAlign w:val="center"/>
          </w:tcPr>
          <w:p>
            <w:pPr>
              <w:spacing w:line="560" w:lineRule="exact"/>
              <w:jc w:val="center"/>
              <w:rPr>
                <w:rFonts w:ascii="仿宋_GB2312" w:hAnsi="仿宋" w:eastAsia="仿宋_GB2312" w:cs="宋体"/>
                <w:bCs/>
                <w:lang w:eastAsia="zh-CN"/>
              </w:rPr>
            </w:pPr>
            <w:r>
              <w:rPr>
                <w:rFonts w:hint="eastAsia" w:ascii="仿宋_GB2312" w:hAnsi="仿宋" w:eastAsia="仿宋_GB2312" w:cs="宋体"/>
                <w:bCs/>
                <w:lang w:eastAsia="zh-CN"/>
              </w:rPr>
              <w:t>序号</w:t>
            </w:r>
          </w:p>
        </w:tc>
        <w:tc>
          <w:tcPr>
            <w:tcW w:w="9330" w:type="dxa"/>
            <w:vAlign w:val="center"/>
          </w:tcPr>
          <w:p>
            <w:pPr>
              <w:spacing w:line="560" w:lineRule="exact"/>
              <w:jc w:val="center"/>
              <w:rPr>
                <w:rFonts w:ascii="仿宋_GB2312" w:hAnsi="仿宋" w:eastAsia="仿宋_GB2312" w:cs="宋体"/>
                <w:bCs/>
                <w:lang w:eastAsia="zh-CN"/>
              </w:rPr>
            </w:pPr>
            <w:r>
              <w:rPr>
                <w:rFonts w:hint="eastAsia" w:ascii="仿宋_GB2312" w:hAnsi="仿宋" w:eastAsia="仿宋_GB2312" w:cs="宋体"/>
                <w:bCs/>
                <w:lang w:eastAsia="zh-CN"/>
              </w:rPr>
              <w:t>重点普法任务</w:t>
            </w:r>
          </w:p>
        </w:tc>
        <w:tc>
          <w:tcPr>
            <w:tcW w:w="1420" w:type="dxa"/>
            <w:vAlign w:val="center"/>
          </w:tcPr>
          <w:p>
            <w:pPr>
              <w:spacing w:line="560" w:lineRule="exact"/>
              <w:jc w:val="center"/>
              <w:rPr>
                <w:rFonts w:ascii="仿宋_GB2312" w:hAnsi="仿宋" w:eastAsia="仿宋_GB2312" w:cs="宋体"/>
                <w:bCs/>
                <w:lang w:eastAsia="zh-CN"/>
              </w:rPr>
            </w:pPr>
            <w:r>
              <w:rPr>
                <w:rFonts w:hint="eastAsia" w:ascii="仿宋_GB2312" w:hAnsi="仿宋" w:eastAsia="仿宋_GB2312" w:cs="宋体"/>
                <w:bCs/>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restart"/>
            <w:vAlign w:val="center"/>
          </w:tcPr>
          <w:p>
            <w:pPr>
              <w:spacing w:line="560" w:lineRule="exact"/>
              <w:jc w:val="center"/>
              <w:rPr>
                <w:rFonts w:ascii="仿宋_GB2312" w:hAnsi="仿宋" w:eastAsia="仿宋_GB2312" w:cs="宋体"/>
                <w:bCs/>
                <w:lang w:eastAsia="zh-CN"/>
              </w:rPr>
            </w:pPr>
            <w:r>
              <w:rPr>
                <w:rFonts w:hint="eastAsia" w:ascii="仿宋_GB2312" w:hAnsi="仿宋" w:eastAsia="仿宋_GB2312" w:cs="宋体"/>
                <w:bCs/>
                <w:lang w:eastAsia="zh-CN"/>
              </w:rPr>
              <w:t>公共指标</w:t>
            </w: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1</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 w:eastAsia="仿宋_GB2312" w:cs="宋体"/>
                <w:bCs/>
                <w:color w:val="auto"/>
                <w:sz w:val="21"/>
                <w:szCs w:val="21"/>
                <w:lang w:eastAsia="zh-CN"/>
              </w:rPr>
              <w:t>深入学习宣传习近平法治思想，将相关内容纳入年内</w:t>
            </w:r>
            <w:r>
              <w:rPr>
                <w:rFonts w:hint="eastAsia" w:ascii="仿宋_GB2312" w:hAnsi="仿宋_GB2312" w:eastAsia="仿宋_GB2312" w:cs="仿宋_GB2312"/>
                <w:bCs/>
                <w:color w:val="auto"/>
                <w:sz w:val="21"/>
                <w:szCs w:val="21"/>
                <w:lang w:eastAsia="zh-CN"/>
              </w:rPr>
              <w:t>党组（党委）</w:t>
            </w:r>
            <w:r>
              <w:rPr>
                <w:rFonts w:hint="eastAsia" w:ascii="仿宋_GB2312" w:hAnsi="仿宋" w:eastAsia="仿宋_GB2312" w:cs="宋体"/>
                <w:bCs/>
                <w:color w:val="auto"/>
                <w:sz w:val="21"/>
                <w:szCs w:val="21"/>
                <w:lang w:eastAsia="zh-CN"/>
              </w:rPr>
              <w:t>中心组集中学法内容，纳入本系统法治培训内容，开展宣讲不少于1次。</w:t>
            </w:r>
          </w:p>
        </w:tc>
        <w:tc>
          <w:tcPr>
            <w:tcW w:w="1420" w:type="dxa"/>
            <w:vAlign w:val="center"/>
          </w:tcPr>
          <w:p>
            <w:pPr>
              <w:pStyle w:val="2"/>
              <w:rPr>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2</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 w:eastAsia="仿宋_GB2312" w:cs="宋体"/>
                <w:bCs/>
                <w:color w:val="auto"/>
                <w:sz w:val="21"/>
                <w:szCs w:val="21"/>
                <w:lang w:eastAsia="zh-CN"/>
              </w:rPr>
              <w:t>突出宣传宪法，开展宪法进机关活动，组织开展日常宪法学习宣传，集中组织好本系统“宪法宣传周”活动。</w:t>
            </w:r>
          </w:p>
        </w:tc>
        <w:tc>
          <w:tcPr>
            <w:tcW w:w="1420" w:type="dxa"/>
            <w:vAlign w:val="center"/>
          </w:tcPr>
          <w:p>
            <w:pPr>
              <w:pStyle w:val="2"/>
              <w:rPr>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3</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_GB2312" w:eastAsia="仿宋_GB2312" w:cs="仿宋_GB2312"/>
                <w:bCs/>
                <w:color w:val="auto"/>
                <w:sz w:val="21"/>
                <w:szCs w:val="21"/>
                <w:lang w:eastAsia="zh-CN"/>
              </w:rPr>
              <w:t>落实党组（党委）理论学习中心组学法制度，每年组织学法不少于2次。</w:t>
            </w:r>
          </w:p>
        </w:tc>
        <w:tc>
          <w:tcPr>
            <w:tcW w:w="1420" w:type="dxa"/>
            <w:vAlign w:val="center"/>
          </w:tcPr>
          <w:p>
            <w:pPr>
              <w:spacing w:line="560" w:lineRule="exact"/>
              <w:jc w:val="both"/>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4</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_GB2312" w:eastAsia="仿宋_GB2312" w:cs="仿宋_GB2312"/>
                <w:bCs/>
                <w:color w:val="auto"/>
                <w:sz w:val="21"/>
                <w:szCs w:val="21"/>
                <w:lang w:eastAsia="zh-CN"/>
              </w:rPr>
              <w:t>落实领导干部年终述法制度，在年度述职中加入述法内容。</w:t>
            </w:r>
          </w:p>
        </w:tc>
        <w:tc>
          <w:tcPr>
            <w:tcW w:w="1420" w:type="dxa"/>
            <w:vAlign w:val="center"/>
          </w:tcPr>
          <w:p>
            <w:pPr>
              <w:spacing w:line="560" w:lineRule="exact"/>
              <w:jc w:val="center"/>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5</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_GB2312" w:eastAsia="仿宋_GB2312" w:cs="仿宋_GB2312"/>
                <w:bCs/>
                <w:color w:val="auto"/>
                <w:sz w:val="21"/>
                <w:szCs w:val="21"/>
                <w:lang w:eastAsia="zh-CN"/>
              </w:rPr>
              <w:t>健全完善国家工作人员日常学法制度、法治培训制度、学法用法考核制度，举办一期法治专题培训班。</w:t>
            </w:r>
            <w:r>
              <w:rPr>
                <w:rFonts w:hint="eastAsia" w:ascii="仿宋_GB2312" w:hAnsi="仿宋" w:eastAsia="仿宋_GB2312" w:cs="宋体"/>
                <w:bCs/>
                <w:color w:val="auto"/>
                <w:sz w:val="21"/>
                <w:szCs w:val="21"/>
                <w:lang w:eastAsia="zh-CN"/>
              </w:rPr>
              <w:t>组织做好</w:t>
            </w:r>
            <w:r>
              <w:rPr>
                <w:rFonts w:ascii="仿宋_GB2312" w:hAnsi="仿宋" w:eastAsia="仿宋_GB2312" w:cs="宋体"/>
                <w:bCs/>
                <w:color w:val="auto"/>
                <w:sz w:val="21"/>
                <w:szCs w:val="21"/>
                <w:lang w:eastAsia="zh-CN"/>
              </w:rPr>
              <w:t>本单位工作人员网上学法</w:t>
            </w:r>
            <w:r>
              <w:rPr>
                <w:rFonts w:hint="eastAsia" w:ascii="仿宋_GB2312" w:hAnsi="仿宋" w:eastAsia="仿宋_GB2312" w:cs="宋体"/>
                <w:bCs/>
                <w:color w:val="auto"/>
                <w:sz w:val="21"/>
                <w:szCs w:val="21"/>
                <w:lang w:eastAsia="zh-CN"/>
              </w:rPr>
              <w:t>，年内</w:t>
            </w:r>
            <w:r>
              <w:rPr>
                <w:rFonts w:ascii="仿宋_GB2312" w:hAnsi="仿宋" w:eastAsia="仿宋_GB2312" w:cs="宋体"/>
                <w:bCs/>
                <w:color w:val="auto"/>
                <w:sz w:val="21"/>
                <w:szCs w:val="21"/>
                <w:lang w:eastAsia="zh-CN"/>
              </w:rPr>
              <w:t>课时达标率100%，应考人员参考率100%，合格率98%</w:t>
            </w:r>
            <w:r>
              <w:rPr>
                <w:rFonts w:hint="eastAsia" w:ascii="仿宋_GB2312" w:hAnsi="仿宋" w:eastAsia="仿宋_GB2312" w:cs="宋体"/>
                <w:bCs/>
                <w:color w:val="auto"/>
                <w:sz w:val="21"/>
                <w:szCs w:val="21"/>
                <w:lang w:eastAsia="zh-CN"/>
              </w:rPr>
              <w:t>。按规定及时编辑、更新本系统国家工作人员年度学法相关专业法律法规学习读本和考试题库。</w:t>
            </w:r>
          </w:p>
        </w:tc>
        <w:tc>
          <w:tcPr>
            <w:tcW w:w="1420" w:type="dxa"/>
            <w:vAlign w:val="center"/>
          </w:tcPr>
          <w:p>
            <w:pPr>
              <w:spacing w:line="560" w:lineRule="exact"/>
              <w:jc w:val="center"/>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6</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 w:eastAsia="仿宋_GB2312" w:cs="宋体"/>
                <w:bCs/>
                <w:color w:val="auto"/>
                <w:sz w:val="21"/>
                <w:szCs w:val="21"/>
                <w:lang w:eastAsia="zh-CN"/>
              </w:rPr>
              <w:t>落实国家工作人员旁听庭审制度，组织网上集中观看或是现场集中旁听庭审，年内不少于1次</w:t>
            </w:r>
            <w:r>
              <w:rPr>
                <w:rFonts w:hint="eastAsia" w:ascii="仿宋_GB2312" w:hAnsi="仿宋_GB2312" w:eastAsia="仿宋_GB2312" w:cs="仿宋_GB2312"/>
                <w:bCs/>
                <w:color w:val="auto"/>
                <w:sz w:val="21"/>
                <w:szCs w:val="21"/>
                <w:lang w:eastAsia="zh-CN"/>
              </w:rPr>
              <w:t>。</w:t>
            </w:r>
          </w:p>
        </w:tc>
        <w:tc>
          <w:tcPr>
            <w:tcW w:w="1420" w:type="dxa"/>
            <w:vAlign w:val="center"/>
          </w:tcPr>
          <w:p>
            <w:pPr>
              <w:spacing w:line="560" w:lineRule="exact"/>
              <w:jc w:val="both"/>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7</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sz w:val="21"/>
                <w:szCs w:val="21"/>
                <w:lang w:eastAsia="zh-CN"/>
              </w:rPr>
            </w:pPr>
            <w:r>
              <w:rPr>
                <w:rFonts w:hint="eastAsia" w:ascii="仿宋_GB2312" w:hAnsi="仿宋" w:eastAsia="仿宋_GB2312" w:cs="宋体"/>
                <w:bCs/>
                <w:color w:val="auto"/>
                <w:sz w:val="21"/>
                <w:szCs w:val="21"/>
                <w:lang w:eastAsia="zh-CN"/>
              </w:rPr>
              <w:t>在部门单位门户网站、自办刊物、官方微博、微信公众号开辟法治宣传专栏（专题）。设置“以案释法”栏目，定期发布普法宣传内容和“以案释法”案例。</w:t>
            </w:r>
          </w:p>
        </w:tc>
        <w:tc>
          <w:tcPr>
            <w:tcW w:w="1420" w:type="dxa"/>
            <w:vAlign w:val="center"/>
          </w:tcPr>
          <w:p>
            <w:pPr>
              <w:spacing w:line="560" w:lineRule="exact"/>
              <w:jc w:val="center"/>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ascii="仿宋_GB2312" w:hAnsi="仿宋" w:eastAsia="仿宋_GB2312" w:cs="宋体"/>
                <w:bCs/>
                <w:lang w:eastAsia="zh-CN"/>
              </w:rPr>
              <w:t>8</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加强对本单位乡村振兴联系点的指导，有针对性地宣传普及本部门与群众生产生活和乡村治理密切相关的法律法规，年内开展送法下乡活动不少于1次。</w:t>
            </w:r>
          </w:p>
        </w:tc>
        <w:tc>
          <w:tcPr>
            <w:tcW w:w="1420" w:type="dxa"/>
            <w:vAlign w:val="center"/>
          </w:tcPr>
          <w:p>
            <w:pPr>
              <w:spacing w:line="560" w:lineRule="exact"/>
              <w:jc w:val="center"/>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 w:type="dxa"/>
            <w:vMerge w:val="continue"/>
            <w:vAlign w:val="center"/>
          </w:tcPr>
          <w:p>
            <w:pPr>
              <w:spacing w:line="560" w:lineRule="exact"/>
              <w:jc w:val="center"/>
              <w:rPr>
                <w:rFonts w:ascii="仿宋_GB2312" w:hAnsi="仿宋" w:eastAsia="仿宋_GB2312" w:cs="宋体"/>
                <w:bCs/>
                <w:lang w:eastAsia="zh-CN"/>
              </w:rPr>
            </w:pPr>
          </w:p>
        </w:tc>
        <w:tc>
          <w:tcPr>
            <w:tcW w:w="790" w:type="dxa"/>
            <w:vAlign w:val="center"/>
          </w:tcPr>
          <w:p>
            <w:pPr>
              <w:spacing w:line="56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9</w:t>
            </w:r>
            <w:r>
              <w:rPr>
                <w:rFonts w:hint="eastAsia" w:ascii="仿宋_GB2312" w:hAnsi="仿宋" w:eastAsia="仿宋_GB2312" w:cs="宋体"/>
                <w:bCs/>
                <w:lang w:val="en-US" w:eastAsia="zh-CN"/>
              </w:rPr>
              <w:t>.</w:t>
            </w:r>
          </w:p>
        </w:tc>
        <w:tc>
          <w:tcPr>
            <w:tcW w:w="9330" w:type="dxa"/>
            <w:vAlign w:val="center"/>
          </w:tcPr>
          <w:p>
            <w:pPr>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认真贯彻落实全省“八五”普法规划和《张家界市</w:t>
            </w:r>
            <w:bookmarkStart w:id="0" w:name="_GoBack"/>
            <w:bookmarkEnd w:id="0"/>
            <w:r>
              <w:rPr>
                <w:rFonts w:hint="eastAsia" w:ascii="仿宋_GB2312" w:hAnsi="仿宋" w:eastAsia="仿宋_GB2312" w:cs="宋体"/>
                <w:bCs/>
                <w:color w:val="auto"/>
                <w:sz w:val="21"/>
                <w:szCs w:val="21"/>
                <w:lang w:eastAsia="zh-CN"/>
              </w:rPr>
              <w:t>法治社会建设实施方案（2021-2025年）》。</w:t>
            </w:r>
          </w:p>
        </w:tc>
        <w:tc>
          <w:tcPr>
            <w:tcW w:w="1420" w:type="dxa"/>
            <w:vAlign w:val="center"/>
          </w:tcPr>
          <w:p>
            <w:pPr>
              <w:spacing w:line="560" w:lineRule="exact"/>
              <w:jc w:val="center"/>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277" w:type="dxa"/>
            <w:vMerge w:val="restart"/>
            <w:vAlign w:val="center"/>
          </w:tcPr>
          <w:p>
            <w:pPr>
              <w:spacing w:line="320" w:lineRule="exact"/>
              <w:jc w:val="both"/>
              <w:rPr>
                <w:rFonts w:ascii="仿宋_GB2312" w:hAnsi="仿宋" w:eastAsia="仿宋_GB2312" w:cs="宋体"/>
                <w:bCs/>
                <w:lang w:eastAsia="zh-CN"/>
              </w:rPr>
            </w:pPr>
            <w:r>
              <w:rPr>
                <w:rFonts w:hint="eastAsia" w:ascii="仿宋_GB2312" w:hAnsi="仿宋" w:eastAsia="仿宋_GB2312" w:cs="宋体"/>
                <w:bCs/>
                <w:lang w:eastAsia="zh-CN"/>
              </w:rPr>
              <w:t>个性指标</w:t>
            </w:r>
          </w:p>
        </w:tc>
        <w:tc>
          <w:tcPr>
            <w:tcW w:w="790" w:type="dxa"/>
            <w:vAlign w:val="center"/>
          </w:tcPr>
          <w:p>
            <w:pPr>
              <w:spacing w:line="32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1</w:t>
            </w:r>
            <w:r>
              <w:rPr>
                <w:rFonts w:hint="eastAsia" w:ascii="仿宋_GB2312" w:hAnsi="仿宋" w:eastAsia="仿宋_GB2312" w:cs="宋体"/>
                <w:bCs/>
                <w:lang w:val="en-US" w:eastAsia="zh-CN"/>
              </w:rPr>
              <w:t>.</w:t>
            </w:r>
          </w:p>
        </w:tc>
        <w:tc>
          <w:tcPr>
            <w:tcW w:w="9330" w:type="dxa"/>
            <w:vAlign w:val="center"/>
          </w:tcPr>
          <w:p>
            <w:pPr>
              <w:spacing w:line="320" w:lineRule="exact"/>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开展《湖南省气象灾害防御条例》专题宣传系列活动，将《条例》的宣讲纳入培训内容。</w:t>
            </w:r>
          </w:p>
        </w:tc>
        <w:tc>
          <w:tcPr>
            <w:tcW w:w="1420" w:type="dxa"/>
            <w:vAlign w:val="center"/>
          </w:tcPr>
          <w:p>
            <w:pPr>
              <w:spacing w:line="320" w:lineRule="exact"/>
              <w:jc w:val="both"/>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277" w:type="dxa"/>
            <w:vMerge w:val="continue"/>
            <w:vAlign w:val="center"/>
          </w:tcPr>
          <w:p>
            <w:pPr>
              <w:spacing w:line="320" w:lineRule="exact"/>
              <w:jc w:val="both"/>
              <w:rPr>
                <w:rFonts w:ascii="仿宋_GB2312" w:hAnsi="仿宋" w:eastAsia="仿宋_GB2312" w:cs="宋体"/>
                <w:bCs/>
                <w:lang w:eastAsia="zh-CN"/>
              </w:rPr>
            </w:pPr>
          </w:p>
        </w:tc>
        <w:tc>
          <w:tcPr>
            <w:tcW w:w="790" w:type="dxa"/>
            <w:vAlign w:val="center"/>
          </w:tcPr>
          <w:p>
            <w:pPr>
              <w:spacing w:line="32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2</w:t>
            </w:r>
            <w:r>
              <w:rPr>
                <w:rFonts w:hint="eastAsia" w:ascii="仿宋_GB2312" w:hAnsi="仿宋" w:eastAsia="仿宋_GB2312" w:cs="宋体"/>
                <w:bCs/>
                <w:lang w:val="en-US" w:eastAsia="zh-CN"/>
              </w:rPr>
              <w:t>.</w:t>
            </w:r>
          </w:p>
        </w:tc>
        <w:tc>
          <w:tcPr>
            <w:tcW w:w="9330" w:type="dxa"/>
            <w:vAlign w:val="center"/>
          </w:tcPr>
          <w:p>
            <w:pPr>
              <w:spacing w:line="320" w:lineRule="exact"/>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建立健全全市气象部门自查督促机制，将个人落实“谁执法谁普法”责任的情况纳入部门目标管理考核。</w:t>
            </w:r>
          </w:p>
        </w:tc>
        <w:tc>
          <w:tcPr>
            <w:tcW w:w="1420" w:type="dxa"/>
            <w:vAlign w:val="center"/>
          </w:tcPr>
          <w:p>
            <w:pPr>
              <w:spacing w:line="320" w:lineRule="exact"/>
              <w:jc w:val="both"/>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277" w:type="dxa"/>
            <w:vMerge w:val="continue"/>
            <w:vAlign w:val="center"/>
          </w:tcPr>
          <w:p>
            <w:pPr>
              <w:spacing w:line="320" w:lineRule="exact"/>
              <w:jc w:val="both"/>
              <w:rPr>
                <w:rFonts w:ascii="仿宋_GB2312" w:hAnsi="仿宋" w:eastAsia="仿宋_GB2312" w:cs="宋体"/>
                <w:bCs/>
                <w:lang w:eastAsia="zh-CN"/>
              </w:rPr>
            </w:pPr>
          </w:p>
        </w:tc>
        <w:tc>
          <w:tcPr>
            <w:tcW w:w="790" w:type="dxa"/>
            <w:vAlign w:val="center"/>
          </w:tcPr>
          <w:p>
            <w:pPr>
              <w:spacing w:line="32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3</w:t>
            </w:r>
            <w:r>
              <w:rPr>
                <w:rFonts w:hint="eastAsia" w:ascii="仿宋_GB2312" w:hAnsi="仿宋" w:eastAsia="仿宋_GB2312" w:cs="宋体"/>
                <w:bCs/>
                <w:lang w:val="en-US" w:eastAsia="zh-CN"/>
              </w:rPr>
              <w:t>.</w:t>
            </w:r>
          </w:p>
        </w:tc>
        <w:tc>
          <w:tcPr>
            <w:tcW w:w="9330" w:type="dxa"/>
            <w:vAlign w:val="center"/>
          </w:tcPr>
          <w:p>
            <w:pPr>
              <w:spacing w:line="320" w:lineRule="exact"/>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建立本单位普法责任清单和年度任务清单，并向社会公布。</w:t>
            </w:r>
          </w:p>
        </w:tc>
        <w:tc>
          <w:tcPr>
            <w:tcW w:w="1420" w:type="dxa"/>
            <w:vAlign w:val="center"/>
          </w:tcPr>
          <w:p>
            <w:pPr>
              <w:spacing w:line="320" w:lineRule="exact"/>
              <w:jc w:val="both"/>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277" w:type="dxa"/>
            <w:vMerge w:val="continue"/>
            <w:vAlign w:val="center"/>
          </w:tcPr>
          <w:p>
            <w:pPr>
              <w:spacing w:line="320" w:lineRule="exact"/>
              <w:jc w:val="both"/>
              <w:rPr>
                <w:rFonts w:ascii="仿宋_GB2312" w:hAnsi="仿宋" w:eastAsia="仿宋_GB2312" w:cs="宋体"/>
                <w:bCs/>
                <w:lang w:eastAsia="zh-CN"/>
              </w:rPr>
            </w:pPr>
          </w:p>
        </w:tc>
        <w:tc>
          <w:tcPr>
            <w:tcW w:w="790" w:type="dxa"/>
            <w:vAlign w:val="center"/>
          </w:tcPr>
          <w:p>
            <w:pPr>
              <w:spacing w:line="32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4</w:t>
            </w:r>
            <w:r>
              <w:rPr>
                <w:rFonts w:hint="eastAsia" w:ascii="仿宋_GB2312" w:hAnsi="仿宋" w:eastAsia="仿宋_GB2312" w:cs="宋体"/>
                <w:bCs/>
                <w:lang w:val="en-US" w:eastAsia="zh-CN"/>
              </w:rPr>
              <w:t>.</w:t>
            </w:r>
          </w:p>
        </w:tc>
        <w:tc>
          <w:tcPr>
            <w:tcW w:w="9330" w:type="dxa"/>
            <w:vAlign w:val="center"/>
          </w:tcPr>
          <w:p>
            <w:pPr>
              <w:spacing w:line="320" w:lineRule="exact"/>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立足气象职能和业务范围，结合世界气象日、全国防灾减灾日、国家宪法日及纪念日，组织开展相关专题法治宣传教育活动。</w:t>
            </w:r>
          </w:p>
        </w:tc>
        <w:tc>
          <w:tcPr>
            <w:tcW w:w="1420" w:type="dxa"/>
            <w:vAlign w:val="center"/>
          </w:tcPr>
          <w:p>
            <w:pPr>
              <w:spacing w:line="320" w:lineRule="exact"/>
              <w:jc w:val="both"/>
              <w:rPr>
                <w:rFonts w:ascii="仿宋_GB2312" w:hAnsi="仿宋" w:eastAsia="仿宋_GB2312" w:cs="宋体"/>
                <w:bCs/>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277" w:type="dxa"/>
            <w:vMerge w:val="continue"/>
            <w:vAlign w:val="center"/>
          </w:tcPr>
          <w:p>
            <w:pPr>
              <w:spacing w:line="320" w:lineRule="exact"/>
              <w:jc w:val="both"/>
              <w:rPr>
                <w:rFonts w:ascii="仿宋_GB2312" w:hAnsi="仿宋" w:eastAsia="仿宋_GB2312" w:cs="宋体"/>
                <w:bCs/>
                <w:lang w:eastAsia="zh-CN"/>
              </w:rPr>
            </w:pPr>
          </w:p>
        </w:tc>
        <w:tc>
          <w:tcPr>
            <w:tcW w:w="790" w:type="dxa"/>
            <w:vAlign w:val="center"/>
          </w:tcPr>
          <w:p>
            <w:pPr>
              <w:spacing w:line="320" w:lineRule="exact"/>
              <w:jc w:val="center"/>
              <w:rPr>
                <w:rFonts w:hint="default" w:ascii="仿宋_GB2312" w:hAnsi="仿宋" w:eastAsia="仿宋_GB2312" w:cs="宋体"/>
                <w:bCs/>
                <w:lang w:val="en-US" w:eastAsia="zh-CN"/>
              </w:rPr>
            </w:pPr>
            <w:r>
              <w:rPr>
                <w:rFonts w:hint="eastAsia" w:ascii="仿宋_GB2312" w:hAnsi="仿宋" w:eastAsia="仿宋_GB2312" w:cs="宋体"/>
                <w:bCs/>
                <w:lang w:eastAsia="zh-CN"/>
              </w:rPr>
              <w:t>5</w:t>
            </w:r>
            <w:r>
              <w:rPr>
                <w:rFonts w:hint="eastAsia" w:ascii="仿宋_GB2312" w:hAnsi="仿宋" w:eastAsia="仿宋_GB2312" w:cs="宋体"/>
                <w:bCs/>
                <w:lang w:val="en-US" w:eastAsia="zh-CN"/>
              </w:rPr>
              <w:t>.</w:t>
            </w:r>
          </w:p>
        </w:tc>
        <w:tc>
          <w:tcPr>
            <w:tcW w:w="9330" w:type="dxa"/>
            <w:vAlign w:val="center"/>
          </w:tcPr>
          <w:p>
            <w:pPr>
              <w:spacing w:line="320" w:lineRule="exact"/>
              <w:jc w:val="both"/>
              <w:rPr>
                <w:rFonts w:ascii="仿宋_GB2312" w:hAnsi="仿宋" w:eastAsia="仿宋_GB2312" w:cs="宋体"/>
                <w:bCs/>
                <w:color w:val="auto"/>
                <w:sz w:val="21"/>
                <w:szCs w:val="21"/>
                <w:lang w:eastAsia="zh-CN"/>
              </w:rPr>
            </w:pPr>
            <w:r>
              <w:rPr>
                <w:rFonts w:hint="eastAsia" w:ascii="仿宋_GB2312" w:hAnsi="仿宋" w:eastAsia="仿宋_GB2312" w:cs="宋体"/>
                <w:bCs/>
                <w:color w:val="auto"/>
                <w:sz w:val="21"/>
                <w:szCs w:val="21"/>
                <w:lang w:eastAsia="zh-CN"/>
              </w:rPr>
              <w:t>做好气象行政执法典型案例和优秀执法人员的宣传工作。</w:t>
            </w:r>
          </w:p>
        </w:tc>
        <w:tc>
          <w:tcPr>
            <w:tcW w:w="1420" w:type="dxa"/>
            <w:vAlign w:val="center"/>
          </w:tcPr>
          <w:p>
            <w:pPr>
              <w:spacing w:line="320" w:lineRule="exact"/>
              <w:jc w:val="both"/>
              <w:rPr>
                <w:rFonts w:ascii="仿宋_GB2312" w:hAnsi="仿宋" w:eastAsia="仿宋_GB2312" w:cs="宋体"/>
                <w:bCs/>
                <w:lang w:eastAsia="zh-CN"/>
              </w:rPr>
            </w:pPr>
          </w:p>
        </w:tc>
      </w:tr>
    </w:tbl>
    <w:p>
      <w:pPr>
        <w:spacing w:line="560" w:lineRule="exact"/>
        <w:rPr>
          <w:rFonts w:ascii="黑体" w:hAnsi="黑体" w:eastAsia="黑体" w:cs="黑体"/>
          <w:bCs/>
          <w:sz w:val="21"/>
          <w:szCs w:val="21"/>
          <w:lang w:eastAsia="zh-CN"/>
        </w:rPr>
      </w:pPr>
      <w:r>
        <w:rPr>
          <w:rFonts w:hint="eastAsia" w:ascii="黑体" w:hAnsi="黑体" w:eastAsia="黑体" w:cs="黑体"/>
          <w:bCs/>
          <w:sz w:val="21"/>
          <w:szCs w:val="21"/>
          <w:lang w:eastAsia="zh-CN"/>
        </w:rPr>
        <w:t xml:space="preserve">  </w:t>
      </w:r>
    </w:p>
    <w:p>
      <w:pPr>
        <w:pStyle w:val="2"/>
        <w:rPr>
          <w:rFonts w:eastAsia="黑体"/>
          <w:lang w:eastAsia="zh-CN"/>
        </w:rPr>
      </w:pPr>
    </w:p>
    <w:p>
      <w:pPr>
        <w:rPr>
          <w:lang w:eastAsia="zh-CN"/>
        </w:rPr>
      </w:pPr>
    </w:p>
    <w:sectPr>
      <w:pgSz w:w="16838" w:h="11906" w:orient="landscape"/>
      <w:pgMar w:top="1134" w:right="1440" w:bottom="1418"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doNotDisplayPageBoundaries w:val="true"/>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29F"/>
    <w:rsid w:val="000821ED"/>
    <w:rsid w:val="0022229F"/>
    <w:rsid w:val="0022555E"/>
    <w:rsid w:val="00303568"/>
    <w:rsid w:val="00564096"/>
    <w:rsid w:val="005B63BD"/>
    <w:rsid w:val="00745FA5"/>
    <w:rsid w:val="00F744DF"/>
    <w:rsid w:val="00F84C45"/>
    <w:rsid w:val="5E5F4310"/>
    <w:rsid w:val="7FDE952E"/>
    <w:rsid w:val="7FF6E852"/>
    <w:rsid w:val="7FFC49E3"/>
    <w:rsid w:val="AC939379"/>
    <w:rsid w:val="AF5805BE"/>
    <w:rsid w:val="B2FE9DAA"/>
    <w:rsid w:val="EEEF1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link w:val="10"/>
    <w:qFormat/>
    <w:uiPriority w:val="0"/>
    <w:pPr>
      <w:snapToGrid w:val="0"/>
    </w:pPr>
    <w:rPr>
      <w:rFonts w:ascii="Calibri" w:hAnsi="Calibri"/>
      <w:sz w:val="18"/>
      <w:szCs w:val="18"/>
    </w:rPr>
  </w:style>
  <w:style w:type="paragraph" w:styleId="3">
    <w:name w:val="footer"/>
    <w:basedOn w:val="1"/>
    <w:link w:val="9"/>
    <w:semiHidden/>
    <w:unhideWhenUsed/>
    <w:qFormat/>
    <w:uiPriority w:val="99"/>
    <w:pPr>
      <w:tabs>
        <w:tab w:val="center" w:pos="4153"/>
        <w:tab w:val="right" w:pos="8306"/>
      </w:tabs>
      <w:snapToGrid w:val="0"/>
    </w:pPr>
    <w:rPr>
      <w:rFonts w:asciiTheme="minorHAnsi" w:hAnsiTheme="minorHAnsi" w:eastAsiaTheme="minorEastAsia" w:cstheme="minorBidi"/>
      <w:color w:val="auto"/>
      <w:kern w:val="2"/>
      <w:sz w:val="18"/>
      <w:szCs w:val="18"/>
      <w:lang w:eastAsia="zh-CN" w:bidi="ar-SA"/>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lang w:eastAsia="zh-CN" w:bidi="ar-SA"/>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脚注文本 Char"/>
    <w:basedOn w:val="7"/>
    <w:link w:val="2"/>
    <w:qFormat/>
    <w:uiPriority w:val="0"/>
    <w:rPr>
      <w:rFonts w:ascii="Calibri" w:hAnsi="Calibri" w:eastAsia="Times New Roman" w:cs="Times New Roman"/>
      <w:color w:val="000000"/>
      <w:kern w:val="0"/>
      <w:sz w:val="18"/>
      <w:szCs w:val="18"/>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150</Words>
  <Characters>859</Characters>
  <Lines>7</Lines>
  <Paragraphs>2</Paragraphs>
  <TotalTime>2</TotalTime>
  <ScaleCrop>false</ScaleCrop>
  <LinksUpToDate>false</LinksUpToDate>
  <CharactersWithSpaces>1007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2023-02-21T23:43:00Z</dcterms:created>
  <dc:creator>张翼</dc:creator>
  <cp:lastModifiedBy>qixiangju</cp:lastModifiedBy>
  <dcterms:modified xsi:type="dcterms:W3CDTF">2023-05-17T09:13:33Z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